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30A8" w14:textId="3BB21462" w:rsidR="00E7255B" w:rsidRPr="0071085D" w:rsidRDefault="00E7255B" w:rsidP="00463498">
      <w:pPr>
        <w:pStyle w:val="Titre2"/>
        <w:jc w:val="center"/>
        <w:rPr>
          <w:rFonts w:ascii="Times New Roman" w:hAnsi="Times New Roman" w:cs="Times New Roman"/>
          <w:b/>
          <w:color w:val="auto"/>
          <w:sz w:val="24"/>
          <w:szCs w:val="24"/>
          <w:lang w:val="en-CA"/>
        </w:rPr>
      </w:pPr>
      <w:bookmarkStart w:id="0" w:name="_Hlk494286907"/>
      <w:r w:rsidRPr="0071085D">
        <w:rPr>
          <w:rFonts w:ascii="Times New Roman" w:hAnsi="Times New Roman" w:cs="Times New Roman"/>
          <w:b/>
          <w:color w:val="auto"/>
          <w:sz w:val="24"/>
          <w:szCs w:val="24"/>
          <w:lang w:val="en-CA"/>
        </w:rPr>
        <w:t>Abstract</w:t>
      </w:r>
    </w:p>
    <w:p w14:paraId="6308B7A9" w14:textId="77777777" w:rsidR="00710EC5" w:rsidRPr="0071085D" w:rsidRDefault="00710EC5" w:rsidP="00710EC5">
      <w:pPr>
        <w:rPr>
          <w:lang w:val="en-CA"/>
        </w:rPr>
      </w:pPr>
    </w:p>
    <w:p w14:paraId="719B5B85" w14:textId="70C95787" w:rsidR="00E7255B" w:rsidRPr="0071085D" w:rsidRDefault="00E7255B" w:rsidP="00E7255B">
      <w:pPr>
        <w:widowControl w:val="0"/>
        <w:autoSpaceDE w:val="0"/>
        <w:autoSpaceDN w:val="0"/>
        <w:adjustRightInd w:val="0"/>
        <w:spacing w:line="480" w:lineRule="auto"/>
        <w:rPr>
          <w:lang w:val="en-CA"/>
        </w:rPr>
      </w:pPr>
      <w:r w:rsidRPr="0071085D">
        <w:rPr>
          <w:lang w:val="en-CA"/>
        </w:rPr>
        <w:t>In Canada, the highest increases in rates of sexually transmitted infections (STIs) and substance use disorders occur among emerging adults</w:t>
      </w:r>
      <w:r w:rsidR="005771F8" w:rsidRPr="0071085D">
        <w:rPr>
          <w:lang w:val="en-CA"/>
        </w:rPr>
        <w:t xml:space="preserve"> aged 18 to 29 years old</w:t>
      </w:r>
      <w:r w:rsidRPr="0071085D">
        <w:rPr>
          <w:lang w:val="en-CA"/>
        </w:rPr>
        <w:t xml:space="preserve">. </w:t>
      </w:r>
      <w:r w:rsidR="005771F8" w:rsidRPr="0071085D">
        <w:rPr>
          <w:lang w:val="en-CA"/>
        </w:rPr>
        <w:t>M</w:t>
      </w:r>
      <w:r w:rsidRPr="0071085D">
        <w:rPr>
          <w:lang w:val="en-CA"/>
        </w:rPr>
        <w:t xml:space="preserve">ost research on risk-taking behaviors have focused on </w:t>
      </w:r>
      <w:r w:rsidRPr="0071085D">
        <w:rPr>
          <w:rStyle w:val="NotedebasdepageCar"/>
          <w:rFonts w:eastAsia="Times"/>
          <w:sz w:val="24"/>
          <w:szCs w:val="24"/>
          <w:lang w:val="en-CA"/>
        </w:rPr>
        <w:t xml:space="preserve">adolescents or </w:t>
      </w:r>
      <w:r w:rsidRPr="0071085D">
        <w:rPr>
          <w:lang w:val="en-CA"/>
        </w:rPr>
        <w:t>males only</w:t>
      </w:r>
      <w:r w:rsidR="000B21B5" w:rsidRPr="0071085D">
        <w:rPr>
          <w:lang w:val="en-CA"/>
        </w:rPr>
        <w:t>—</w:t>
      </w:r>
      <w:r w:rsidRPr="0071085D">
        <w:rPr>
          <w:lang w:val="en-CA"/>
        </w:rPr>
        <w:t xml:space="preserve">especially </w:t>
      </w:r>
      <w:r w:rsidR="00A14966" w:rsidRPr="0071085D">
        <w:rPr>
          <w:lang w:val="en-CA"/>
        </w:rPr>
        <w:t xml:space="preserve">gay </w:t>
      </w:r>
      <w:r w:rsidR="00AF3075" w:rsidRPr="0071085D">
        <w:rPr>
          <w:lang w:val="en-CA"/>
        </w:rPr>
        <w:t xml:space="preserve">and </w:t>
      </w:r>
      <w:r w:rsidRPr="0071085D">
        <w:rPr>
          <w:lang w:val="en-CA"/>
        </w:rPr>
        <w:t xml:space="preserve">bisexual men. This study aimed to assess patterns of sexual and substance use risk-taking behavior (i.e., early sexual onset, number of sexual partners, inconsistent condom use, unconventional sexual behaviors, binge-drinking, and polysubstance use); investigate whether sociodemographic and individual characteristics predict risk-taking profiles; and examine whether risk-taking profiles are associated with differential health outcomes (i.e., </w:t>
      </w:r>
      <w:r w:rsidRPr="0071085D">
        <w:rPr>
          <w:color w:val="000000"/>
          <w:lang w:val="en-CA"/>
        </w:rPr>
        <w:t>STI testing and diagnosis, substance use problems</w:t>
      </w:r>
      <w:r w:rsidRPr="0071085D">
        <w:rPr>
          <w:lang w:val="en-CA"/>
        </w:rPr>
        <w:t xml:space="preserve">). Latent class analyses were conducted on a sample of 602 heterosexual French-Canadian emerging adults (84% female; M age = 22.3) who completed an online questionnaire. </w:t>
      </w:r>
      <w:r w:rsidRPr="0071085D">
        <w:rPr>
          <w:color w:val="000000"/>
          <w:lang w:val="en-CA"/>
        </w:rPr>
        <w:t xml:space="preserve">Four profiles were identified: </w:t>
      </w:r>
      <w:r w:rsidRPr="0071085D">
        <w:rPr>
          <w:i/>
          <w:color w:val="000000"/>
          <w:lang w:val="en-CA"/>
        </w:rPr>
        <w:t xml:space="preserve">inactive low-risk </w:t>
      </w:r>
      <w:r w:rsidRPr="0071085D">
        <w:rPr>
          <w:color w:val="000000"/>
          <w:lang w:val="en-CA"/>
        </w:rPr>
        <w:t xml:space="preserve">(13.5%), </w:t>
      </w:r>
      <w:r w:rsidRPr="0071085D">
        <w:rPr>
          <w:i/>
          <w:color w:val="000000"/>
          <w:lang w:val="en-CA"/>
        </w:rPr>
        <w:t>active</w:t>
      </w:r>
      <w:r w:rsidRPr="0071085D">
        <w:rPr>
          <w:color w:val="000000"/>
          <w:lang w:val="en-CA"/>
        </w:rPr>
        <w:t xml:space="preserve"> </w:t>
      </w:r>
      <w:r w:rsidRPr="0071085D">
        <w:rPr>
          <w:i/>
          <w:color w:val="000000"/>
          <w:lang w:val="en-CA"/>
        </w:rPr>
        <w:t xml:space="preserve">low-risk </w:t>
      </w:r>
      <w:r w:rsidRPr="0071085D">
        <w:rPr>
          <w:color w:val="000000"/>
          <w:lang w:val="en-CA"/>
        </w:rPr>
        <w:t xml:space="preserve">(34.7%), </w:t>
      </w:r>
      <w:r w:rsidRPr="0071085D">
        <w:rPr>
          <w:i/>
          <w:color w:val="000000"/>
          <w:lang w:val="en-CA"/>
        </w:rPr>
        <w:t xml:space="preserve">mid-risk </w:t>
      </w:r>
      <w:r w:rsidR="004A5ACC" w:rsidRPr="0071085D">
        <w:rPr>
          <w:color w:val="000000"/>
          <w:lang w:val="en-CA"/>
        </w:rPr>
        <w:t>(42.3</w:t>
      </w:r>
      <w:r w:rsidRPr="0071085D">
        <w:rPr>
          <w:color w:val="000000"/>
          <w:lang w:val="en-CA"/>
        </w:rPr>
        <w:t xml:space="preserve">%), and </w:t>
      </w:r>
      <w:r w:rsidRPr="0071085D">
        <w:rPr>
          <w:i/>
          <w:color w:val="000000"/>
          <w:lang w:val="en-CA"/>
        </w:rPr>
        <w:t xml:space="preserve">high-risk </w:t>
      </w:r>
      <w:r w:rsidRPr="0071085D">
        <w:rPr>
          <w:color w:val="000000"/>
          <w:lang w:val="en-CA"/>
        </w:rPr>
        <w:t xml:space="preserve">(9.5%). The two higher risk-taking profiles were overrepresented by older participants, females, and impulsive sensation seekers. Participants in the </w:t>
      </w:r>
      <w:r w:rsidRPr="0071085D">
        <w:rPr>
          <w:i/>
          <w:iCs/>
          <w:color w:val="000000"/>
          <w:lang w:val="en-CA"/>
        </w:rPr>
        <w:t>mid-</w:t>
      </w:r>
      <w:r w:rsidRPr="0071085D">
        <w:rPr>
          <w:color w:val="000000"/>
          <w:lang w:val="en-CA"/>
        </w:rPr>
        <w:t xml:space="preserve"> and </w:t>
      </w:r>
      <w:r w:rsidRPr="0071085D">
        <w:rPr>
          <w:i/>
          <w:iCs/>
          <w:color w:val="000000"/>
          <w:lang w:val="en-CA"/>
        </w:rPr>
        <w:t xml:space="preserve">high-risk </w:t>
      </w:r>
      <w:r w:rsidRPr="0071085D">
        <w:rPr>
          <w:color w:val="000000"/>
          <w:lang w:val="en-CA"/>
        </w:rPr>
        <w:t xml:space="preserve">profiles </w:t>
      </w:r>
      <w:r w:rsidRPr="0071085D">
        <w:rPr>
          <w:bCs/>
          <w:lang w:val="en-CA"/>
        </w:rPr>
        <w:t xml:space="preserve">had higher odds of having been screened for and been diagnosed with </w:t>
      </w:r>
      <w:r w:rsidRPr="0071085D">
        <w:rPr>
          <w:lang w:val="en-CA"/>
        </w:rPr>
        <w:t>STIs,</w:t>
      </w:r>
      <w:r w:rsidRPr="0071085D">
        <w:rPr>
          <w:bCs/>
          <w:lang w:val="en-CA"/>
        </w:rPr>
        <w:t xml:space="preserve"> </w:t>
      </w:r>
      <w:r w:rsidRPr="0071085D">
        <w:rPr>
          <w:lang w:val="en-CA"/>
        </w:rPr>
        <w:t xml:space="preserve">and of reporting more substance use problems. </w:t>
      </w:r>
    </w:p>
    <w:p w14:paraId="20A38AF3" w14:textId="7CC08DED" w:rsidR="00E7255B" w:rsidRPr="0071085D" w:rsidRDefault="00E7255B" w:rsidP="00E7255B">
      <w:pPr>
        <w:widowControl w:val="0"/>
        <w:autoSpaceDE w:val="0"/>
        <w:autoSpaceDN w:val="0"/>
        <w:adjustRightInd w:val="0"/>
        <w:spacing w:line="480" w:lineRule="auto"/>
        <w:jc w:val="center"/>
        <w:rPr>
          <w:lang w:val="en-CA"/>
        </w:rPr>
      </w:pPr>
    </w:p>
    <w:p w14:paraId="0211C16D" w14:textId="380BF7D8" w:rsidR="00EE7D81" w:rsidRPr="0071085D" w:rsidRDefault="00EE7D81" w:rsidP="00E7255B">
      <w:pPr>
        <w:widowControl w:val="0"/>
        <w:autoSpaceDE w:val="0"/>
        <w:autoSpaceDN w:val="0"/>
        <w:adjustRightInd w:val="0"/>
        <w:spacing w:line="480" w:lineRule="auto"/>
        <w:jc w:val="center"/>
        <w:rPr>
          <w:lang w:val="en-CA"/>
        </w:rPr>
      </w:pPr>
    </w:p>
    <w:p w14:paraId="3E2FDABB" w14:textId="4CE719CA" w:rsidR="0028360D" w:rsidRPr="0071085D" w:rsidRDefault="0028360D" w:rsidP="00E7255B">
      <w:pPr>
        <w:widowControl w:val="0"/>
        <w:autoSpaceDE w:val="0"/>
        <w:autoSpaceDN w:val="0"/>
        <w:adjustRightInd w:val="0"/>
        <w:spacing w:line="480" w:lineRule="auto"/>
        <w:jc w:val="center"/>
        <w:rPr>
          <w:lang w:val="en-CA"/>
        </w:rPr>
      </w:pPr>
    </w:p>
    <w:p w14:paraId="0D3368B1" w14:textId="77777777" w:rsidR="006134B7" w:rsidRPr="0071085D" w:rsidRDefault="006134B7" w:rsidP="00E7255B">
      <w:pPr>
        <w:widowControl w:val="0"/>
        <w:autoSpaceDE w:val="0"/>
        <w:autoSpaceDN w:val="0"/>
        <w:adjustRightInd w:val="0"/>
        <w:spacing w:line="480" w:lineRule="auto"/>
        <w:jc w:val="center"/>
        <w:rPr>
          <w:lang w:val="en-CA"/>
        </w:rPr>
      </w:pPr>
    </w:p>
    <w:p w14:paraId="4E9F87EA" w14:textId="77777777" w:rsidR="006134B7" w:rsidRPr="0071085D" w:rsidRDefault="006134B7" w:rsidP="00E7255B">
      <w:pPr>
        <w:widowControl w:val="0"/>
        <w:autoSpaceDE w:val="0"/>
        <w:autoSpaceDN w:val="0"/>
        <w:adjustRightInd w:val="0"/>
        <w:spacing w:line="480" w:lineRule="auto"/>
        <w:jc w:val="center"/>
        <w:rPr>
          <w:lang w:val="en-CA"/>
        </w:rPr>
      </w:pPr>
    </w:p>
    <w:p w14:paraId="026B64D9" w14:textId="77777777" w:rsidR="006134B7" w:rsidRPr="0071085D" w:rsidRDefault="006134B7" w:rsidP="006134B7">
      <w:pPr>
        <w:widowControl w:val="0"/>
        <w:autoSpaceDE w:val="0"/>
        <w:autoSpaceDN w:val="0"/>
        <w:adjustRightInd w:val="0"/>
        <w:spacing w:after="0" w:line="480" w:lineRule="auto"/>
        <w:jc w:val="center"/>
        <w:rPr>
          <w:b/>
          <w:lang w:val="en-CA"/>
        </w:rPr>
      </w:pPr>
      <w:r w:rsidRPr="0071085D">
        <w:rPr>
          <w:b/>
          <w:lang w:val="en-CA"/>
        </w:rPr>
        <w:lastRenderedPageBreak/>
        <w:t>Profiles of Risk-Taking Sexual and Substance Use Behaviors among French-Canadian Emerging Adults: A Latent Class Analysis</w:t>
      </w:r>
    </w:p>
    <w:bookmarkEnd w:id="0"/>
    <w:p w14:paraId="66B74B40" w14:textId="105C75AD" w:rsidR="007870A5" w:rsidRPr="0071085D" w:rsidRDefault="00C11BC1" w:rsidP="007870A5">
      <w:pPr>
        <w:widowControl w:val="0"/>
        <w:autoSpaceDE w:val="0"/>
        <w:autoSpaceDN w:val="0"/>
        <w:adjustRightInd w:val="0"/>
        <w:spacing w:after="0" w:line="480" w:lineRule="auto"/>
        <w:ind w:firstLine="708"/>
        <w:rPr>
          <w:color w:val="000000" w:themeColor="text1"/>
          <w:lang w:val="en-CA"/>
        </w:rPr>
      </w:pPr>
      <w:r w:rsidRPr="0071085D">
        <w:rPr>
          <w:lang w:val="en-CA"/>
        </w:rPr>
        <w:t>T</w:t>
      </w:r>
      <w:r w:rsidR="009B78D1" w:rsidRPr="0071085D">
        <w:rPr>
          <w:lang w:val="en-CA"/>
        </w:rPr>
        <w:t xml:space="preserve">he developmental period </w:t>
      </w:r>
      <w:r w:rsidRPr="0071085D">
        <w:rPr>
          <w:lang w:val="en-CA"/>
        </w:rPr>
        <w:t>of emerging adulthood (</w:t>
      </w:r>
      <w:r w:rsidR="009B78D1" w:rsidRPr="0071085D">
        <w:rPr>
          <w:lang w:val="en-CA"/>
        </w:rPr>
        <w:t>18 to 29 years</w:t>
      </w:r>
      <w:r w:rsidRPr="0071085D">
        <w:rPr>
          <w:lang w:val="en-CA"/>
        </w:rPr>
        <w:t>)</w:t>
      </w:r>
      <w:r w:rsidR="009B78D1" w:rsidRPr="0071085D">
        <w:rPr>
          <w:lang w:val="en-CA"/>
        </w:rPr>
        <w:t xml:space="preserve"> is characterized by exploration, instability, optimism towards the future, self-focus, and identity formation</w:t>
      </w:r>
      <w:r w:rsidRPr="0071085D">
        <w:rPr>
          <w:lang w:val="en-CA"/>
        </w:rPr>
        <w:t xml:space="preserve"> (Arnett, 2000)</w:t>
      </w:r>
      <w:r w:rsidR="009B78D1" w:rsidRPr="0071085D">
        <w:rPr>
          <w:lang w:val="en-CA"/>
        </w:rPr>
        <w:t>. This process can lead to a diversity of experimenting behaviors, including</w:t>
      </w:r>
      <w:r w:rsidR="006F0270" w:rsidRPr="0071085D">
        <w:rPr>
          <w:lang w:val="en-CA"/>
        </w:rPr>
        <w:t xml:space="preserve"> </w:t>
      </w:r>
      <w:r w:rsidR="009B78D1" w:rsidRPr="0071085D">
        <w:rPr>
          <w:lang w:val="en-CA"/>
        </w:rPr>
        <w:t xml:space="preserve">substance use and sexual exploration. </w:t>
      </w:r>
      <w:r w:rsidR="00EE7D81" w:rsidRPr="0071085D">
        <w:rPr>
          <w:lang w:val="en-CA"/>
        </w:rPr>
        <w:t>Hook-ups and short-term sexual encounters are common in emerging adulthood (Boislard</w:t>
      </w:r>
      <w:r w:rsidR="003A271A" w:rsidRPr="0071085D">
        <w:rPr>
          <w:lang w:val="en-CA"/>
        </w:rPr>
        <w:t xml:space="preserve"> et al.</w:t>
      </w:r>
      <w:r w:rsidR="00EE7D81" w:rsidRPr="0071085D">
        <w:rPr>
          <w:lang w:val="en-CA"/>
        </w:rPr>
        <w:t>, 2016</w:t>
      </w:r>
      <w:proofErr w:type="gramStart"/>
      <w:r w:rsidR="00EE7D81" w:rsidRPr="0071085D">
        <w:rPr>
          <w:lang w:val="en-CA"/>
        </w:rPr>
        <w:t>), and</w:t>
      </w:r>
      <w:proofErr w:type="gramEnd"/>
      <w:r w:rsidR="00EE7D81" w:rsidRPr="0071085D">
        <w:rPr>
          <w:lang w:val="en-CA"/>
        </w:rPr>
        <w:t xml:space="preserve"> can serve as contexts to explore one’s sexual preferences (Stinson</w:t>
      </w:r>
      <w:r w:rsidR="003A271A" w:rsidRPr="0071085D">
        <w:rPr>
          <w:lang w:val="en-CA"/>
        </w:rPr>
        <w:t xml:space="preserve"> et al.</w:t>
      </w:r>
      <w:r w:rsidR="00EE7D81" w:rsidRPr="0071085D">
        <w:rPr>
          <w:lang w:val="en-CA"/>
        </w:rPr>
        <w:t>, 2014). M</w:t>
      </w:r>
      <w:r w:rsidR="009B78D1" w:rsidRPr="0071085D">
        <w:rPr>
          <w:lang w:val="en-CA"/>
        </w:rPr>
        <w:t xml:space="preserve">ost emerging adults are </w:t>
      </w:r>
      <w:r w:rsidR="00EE7D81" w:rsidRPr="0071085D">
        <w:rPr>
          <w:lang w:val="en-CA"/>
        </w:rPr>
        <w:t xml:space="preserve">also </w:t>
      </w:r>
      <w:r w:rsidR="009B78D1" w:rsidRPr="0071085D">
        <w:rPr>
          <w:lang w:val="en-CA"/>
        </w:rPr>
        <w:t xml:space="preserve">involved in social contexts </w:t>
      </w:r>
      <w:r w:rsidR="009B78D1" w:rsidRPr="0071085D">
        <w:rPr>
          <w:color w:val="000000" w:themeColor="text1"/>
          <w:lang w:val="en-CA"/>
        </w:rPr>
        <w:t xml:space="preserve">such as bars, festivals, concerts, and parties </w:t>
      </w:r>
      <w:r w:rsidR="009B78D1" w:rsidRPr="0071085D">
        <w:rPr>
          <w:lang w:val="en-CA"/>
        </w:rPr>
        <w:t>in which substance use is normative or even encouraged (Wechsler &amp; Nelson, 2008</w:t>
      </w:r>
      <w:r w:rsidR="009B78D1" w:rsidRPr="0071085D">
        <w:rPr>
          <w:rStyle w:val="NormalcentrCar"/>
          <w:rFonts w:eastAsia="Times"/>
          <w:lang w:val="en-CA"/>
        </w:rPr>
        <w:t>)</w:t>
      </w:r>
      <w:r w:rsidR="00EE7D81" w:rsidRPr="0071085D">
        <w:rPr>
          <w:rStyle w:val="NormalcentrCar"/>
          <w:rFonts w:eastAsia="Times"/>
          <w:lang w:val="en-CA"/>
        </w:rPr>
        <w:t xml:space="preserve">, </w:t>
      </w:r>
      <w:r w:rsidRPr="0071085D">
        <w:rPr>
          <w:rStyle w:val="NormalcentrCar"/>
          <w:rFonts w:eastAsia="Times"/>
          <w:lang w:val="en-CA"/>
        </w:rPr>
        <w:t>and which offer</w:t>
      </w:r>
      <w:r w:rsidR="00EE7D81" w:rsidRPr="0071085D">
        <w:rPr>
          <w:rStyle w:val="NormalcentrCar"/>
          <w:rFonts w:eastAsia="Times"/>
          <w:lang w:val="en-CA"/>
        </w:rPr>
        <w:t xml:space="preserve"> </w:t>
      </w:r>
      <w:r w:rsidR="009B78D1" w:rsidRPr="0071085D">
        <w:rPr>
          <w:color w:val="000000" w:themeColor="text1"/>
          <w:lang w:val="en-CA"/>
        </w:rPr>
        <w:t xml:space="preserve">opportunities to </w:t>
      </w:r>
      <w:r w:rsidRPr="0071085D">
        <w:rPr>
          <w:color w:val="000000" w:themeColor="text1"/>
          <w:lang w:val="en-CA"/>
        </w:rPr>
        <w:t xml:space="preserve">meet </w:t>
      </w:r>
      <w:r w:rsidR="009B78D1" w:rsidRPr="0071085D">
        <w:rPr>
          <w:color w:val="000000" w:themeColor="text1"/>
          <w:lang w:val="en-CA"/>
        </w:rPr>
        <w:t xml:space="preserve">potential sexual partners. </w:t>
      </w:r>
    </w:p>
    <w:p w14:paraId="501575DA" w14:textId="22A95493" w:rsidR="00297F11" w:rsidRPr="0071085D" w:rsidRDefault="00EE7D81" w:rsidP="00297F11">
      <w:pPr>
        <w:widowControl w:val="0"/>
        <w:shd w:val="clear" w:color="auto" w:fill="FFFFFF"/>
        <w:spacing w:after="0" w:line="480" w:lineRule="auto"/>
        <w:ind w:firstLine="709"/>
        <w:rPr>
          <w:lang w:val="en-CA"/>
        </w:rPr>
      </w:pPr>
      <w:r w:rsidRPr="0071085D">
        <w:rPr>
          <w:lang w:val="en-CA"/>
        </w:rPr>
        <w:t xml:space="preserve">Empirical </w:t>
      </w:r>
      <w:r w:rsidR="003A271A" w:rsidRPr="0071085D">
        <w:rPr>
          <w:lang w:val="en-CA"/>
        </w:rPr>
        <w:t xml:space="preserve">Canadian </w:t>
      </w:r>
      <w:r w:rsidRPr="0071085D">
        <w:rPr>
          <w:lang w:val="en-CA"/>
        </w:rPr>
        <w:t>evidence shows that</w:t>
      </w:r>
      <w:r w:rsidR="009B78D1" w:rsidRPr="0071085D">
        <w:rPr>
          <w:lang w:val="en-CA"/>
        </w:rPr>
        <w:t xml:space="preserve"> e</w:t>
      </w:r>
      <w:r w:rsidR="00C46969" w:rsidRPr="0071085D">
        <w:rPr>
          <w:lang w:val="en-CA"/>
        </w:rPr>
        <w:t>merging</w:t>
      </w:r>
      <w:r w:rsidR="00261BA9" w:rsidRPr="0071085D">
        <w:rPr>
          <w:lang w:val="en-CA"/>
        </w:rPr>
        <w:t xml:space="preserve"> adulthood is</w:t>
      </w:r>
      <w:r w:rsidR="009B2DB9" w:rsidRPr="0071085D">
        <w:rPr>
          <w:lang w:val="en-CA"/>
        </w:rPr>
        <w:t xml:space="preserve"> particularly conducive </w:t>
      </w:r>
      <w:r w:rsidR="001074CB" w:rsidRPr="0071085D">
        <w:rPr>
          <w:lang w:val="en-CA"/>
        </w:rPr>
        <w:t xml:space="preserve">to </w:t>
      </w:r>
      <w:r w:rsidR="00C46969" w:rsidRPr="0071085D">
        <w:rPr>
          <w:lang w:val="en-CA"/>
        </w:rPr>
        <w:t>risk-taking</w:t>
      </w:r>
      <w:r w:rsidR="00261BA9" w:rsidRPr="0071085D">
        <w:rPr>
          <w:lang w:val="en-CA"/>
        </w:rPr>
        <w:t xml:space="preserve"> behaviors</w:t>
      </w:r>
      <w:r w:rsidR="006F0270" w:rsidRPr="0071085D">
        <w:rPr>
          <w:lang w:val="en-CA"/>
        </w:rPr>
        <w:t>;</w:t>
      </w:r>
      <w:r w:rsidR="00826866" w:rsidRPr="0071085D">
        <w:rPr>
          <w:lang w:val="en-CA"/>
        </w:rPr>
        <w:t xml:space="preserve"> </w:t>
      </w:r>
      <w:r w:rsidR="007870A5" w:rsidRPr="0071085D">
        <w:rPr>
          <w:lang w:val="en-CA"/>
        </w:rPr>
        <w:t>emerging adults are overrepresented in public health issues such as sexually transmitted infections (STIs)</w:t>
      </w:r>
      <w:r w:rsidR="006F0270" w:rsidRPr="0071085D">
        <w:rPr>
          <w:lang w:val="en-CA"/>
        </w:rPr>
        <w:t xml:space="preserve"> and</w:t>
      </w:r>
      <w:r w:rsidR="007870A5" w:rsidRPr="0071085D">
        <w:rPr>
          <w:lang w:val="en-CA"/>
        </w:rPr>
        <w:t xml:space="preserve"> problematic substance use, injuries, and accidental deaths </w:t>
      </w:r>
      <w:r w:rsidR="007870A5" w:rsidRPr="0071085D">
        <w:rPr>
          <w:rStyle w:val="NotedebasdepageCar"/>
          <w:rFonts w:eastAsia="Times"/>
          <w:sz w:val="24"/>
          <w:szCs w:val="24"/>
        </w:rPr>
        <w:fldChar w:fldCharType="begin"/>
      </w:r>
      <w:r w:rsidR="007870A5" w:rsidRPr="0071085D">
        <w:rPr>
          <w:rStyle w:val="NotedebasdepageCar"/>
          <w:rFonts w:eastAsia="Times"/>
          <w:sz w:val="24"/>
          <w:szCs w:val="24"/>
        </w:rPr>
        <w:instrText xml:space="preserve"> ADDIN EN.CITE &lt;EndNote&gt;&lt;Cite&gt;&lt;Author&gt;Turner&lt;/Author&gt;&lt;Year&gt;2004&lt;/Year&gt;&lt;RecNum&gt;6634&lt;/RecNum&gt;&lt;DisplayText&gt;(Turner, McClure, &amp;amp; Pirozzo, 2004)&lt;/DisplayText&gt;&lt;record&gt;&lt;rec-number&gt;6634&lt;/rec-number&gt;&lt;foreign-keys&gt;&lt;key app="EN" db-id="dprtft2veefe25eexvjptfsqefd5tf9xf05w" timestamp="1489296537"&gt;6634&lt;/key&gt;&lt;/foreign-keys&gt;&lt;ref-type name="Journal Article"&gt;17&lt;/ref-type&gt;&lt;contributors&gt;&lt;authors&gt;&lt;author&gt;Turner, Cathy&lt;/author&gt;&lt;author&gt;McClure, Rod&lt;/author&gt;&lt;author&gt;Pirozzo, Sandi&lt;/author&gt;&lt;/authors&gt;&lt;/contributors&gt;&lt;titles&gt;&lt;title&gt;Injury and risk-taking behavior—a systematic review&lt;/title&gt;&lt;secondary-title&gt;Accident Analysis &amp;amp; Prevention&lt;/secondary-title&gt;&lt;/titles&gt;&lt;periodical&gt;&lt;full-title&gt;Accident Analysis &amp;amp; Prevention&lt;/full-title&gt;&lt;abbr-1&gt;Accid. Anal. Prev.&lt;/abbr-1&gt;&lt;abbr-2&gt;0001-4575&lt;/abbr-2&gt;&lt;/periodical&gt;&lt;pages&gt;93-101&lt;/pages&gt;&lt;volume&gt;36&lt;/volume&gt;&lt;number&gt;1&lt;/number&gt;&lt;keywords&gt;&lt;keyword&gt;Wounds and injuries&lt;/keyword&gt;&lt;keyword&gt;Accidents&lt;/keyword&gt;&lt;keyword&gt;Multiple trauma&lt;/keyword&gt;&lt;keyword&gt;Risk-taking&lt;/keyword&gt;&lt;keyword&gt;Evidence-based medicine&lt;/keyword&gt;&lt;/keywords&gt;&lt;dates&gt;&lt;year&gt;2004&lt;/year&gt;&lt;pub-dates&gt;&lt;date&gt;1//&lt;/date&gt;&lt;/pub-dates&gt;&lt;/dates&gt;&lt;isbn&gt;0001-4575&lt;/isbn&gt;&lt;urls&gt;&lt;related-urls&gt;&lt;url&gt;http://www.sciencedirect.com/science/article/pii/S0001457502001318&lt;/url&gt;&lt;/related-urls&gt;&lt;/urls&gt;&lt;electronic-resource-num&gt;10.1016/S0001-4575(02)00131-8&lt;/electronic-resource-num&gt;&lt;/record&gt;&lt;/Cite&gt;&lt;/EndNote&gt;</w:instrText>
      </w:r>
      <w:r w:rsidR="007870A5" w:rsidRPr="0071085D">
        <w:rPr>
          <w:rStyle w:val="NotedebasdepageCar"/>
          <w:rFonts w:eastAsia="Times"/>
          <w:sz w:val="24"/>
          <w:szCs w:val="24"/>
        </w:rPr>
        <w:fldChar w:fldCharType="separate"/>
      </w:r>
      <w:r w:rsidR="007870A5" w:rsidRPr="0071085D">
        <w:rPr>
          <w:rStyle w:val="NotedebasdepageCar"/>
          <w:rFonts w:eastAsia="Times"/>
          <w:noProof/>
          <w:sz w:val="24"/>
          <w:szCs w:val="24"/>
        </w:rPr>
        <w:t>(</w:t>
      </w:r>
      <w:r w:rsidR="007870A5" w:rsidRPr="0071085D">
        <w:rPr>
          <w:color w:val="000000"/>
          <w:shd w:val="clear" w:color="auto" w:fill="FFFFFF"/>
          <w:lang w:val="en-CA"/>
        </w:rPr>
        <w:t xml:space="preserve">Lambert et al., 2017; </w:t>
      </w:r>
      <w:r w:rsidR="007870A5" w:rsidRPr="0071085D">
        <w:rPr>
          <w:lang w:val="en-CA"/>
        </w:rPr>
        <w:t>Statistics Canada</w:t>
      </w:r>
      <w:r w:rsidR="007870A5" w:rsidRPr="0071085D">
        <w:rPr>
          <w:lang w:val="en-US"/>
        </w:rPr>
        <w:t>, 2015</w:t>
      </w:r>
      <w:r w:rsidR="007870A5" w:rsidRPr="0071085D">
        <w:rPr>
          <w:rStyle w:val="NotedebasdepageCar"/>
          <w:rFonts w:eastAsia="Times"/>
          <w:noProof/>
          <w:sz w:val="24"/>
          <w:szCs w:val="24"/>
        </w:rPr>
        <w:t>)</w:t>
      </w:r>
      <w:r w:rsidR="007870A5" w:rsidRPr="0071085D">
        <w:rPr>
          <w:rStyle w:val="NotedebasdepageCar"/>
          <w:rFonts w:eastAsia="Times"/>
          <w:sz w:val="24"/>
          <w:szCs w:val="24"/>
        </w:rPr>
        <w:fldChar w:fldCharType="end"/>
      </w:r>
      <w:r w:rsidR="00261BA9" w:rsidRPr="0071085D">
        <w:rPr>
          <w:lang w:val="en-CA"/>
        </w:rPr>
        <w:t xml:space="preserve">. </w:t>
      </w:r>
      <w:bookmarkStart w:id="1" w:name="_Hlk485655103"/>
      <w:bookmarkStart w:id="2" w:name="_Hlk484537695"/>
      <w:r w:rsidR="00297F11" w:rsidRPr="0071085D">
        <w:rPr>
          <w:lang w:val="en-CA"/>
        </w:rPr>
        <w:t xml:space="preserve">However, risk-taking behavior varies widely between youths, and these differences could be explained by variations in individual characteristics. For instance, impulsivity was found to be positively related with risk-taking behavior among </w:t>
      </w:r>
      <w:r w:rsidR="003A271A" w:rsidRPr="0071085D">
        <w:rPr>
          <w:lang w:val="en-CA"/>
        </w:rPr>
        <w:t xml:space="preserve">Australian </w:t>
      </w:r>
      <w:r w:rsidR="00297F11" w:rsidRPr="0071085D">
        <w:rPr>
          <w:lang w:val="en-CA"/>
        </w:rPr>
        <w:t>emerging adults (</w:t>
      </w:r>
      <w:r w:rsidR="00297F11" w:rsidRPr="0071085D">
        <w:rPr>
          <w:rStyle w:val="NotedebasdepageCar"/>
          <w:rFonts w:eastAsia="Times"/>
          <w:sz w:val="24"/>
          <w:szCs w:val="24"/>
          <w:lang w:val="en-CA"/>
        </w:rPr>
        <w:t xml:space="preserve">Bradley &amp; Wildman, 2002). Moreover, </w:t>
      </w:r>
      <w:r w:rsidR="00297F11" w:rsidRPr="0071085D">
        <w:rPr>
          <w:lang w:val="en-CA"/>
        </w:rPr>
        <w:t xml:space="preserve">low self-esteem has also been linked to </w:t>
      </w:r>
      <w:r w:rsidR="00CD67BD" w:rsidRPr="0071085D">
        <w:rPr>
          <w:lang w:val="en-CA"/>
        </w:rPr>
        <w:t xml:space="preserve">sexual </w:t>
      </w:r>
      <w:r w:rsidR="00297F11" w:rsidRPr="0071085D">
        <w:rPr>
          <w:lang w:val="en-CA"/>
        </w:rPr>
        <w:t>risk</w:t>
      </w:r>
      <w:r w:rsidR="00DD1EF9" w:rsidRPr="0071085D">
        <w:rPr>
          <w:lang w:val="en-CA"/>
        </w:rPr>
        <w:t>-taking</w:t>
      </w:r>
      <w:r w:rsidR="00297F11" w:rsidRPr="0071085D">
        <w:rPr>
          <w:lang w:val="en-CA"/>
        </w:rPr>
        <w:t xml:space="preserve"> behavior</w:t>
      </w:r>
      <w:r w:rsidR="00CD67BD" w:rsidRPr="0071085D">
        <w:rPr>
          <w:lang w:val="en-CA"/>
        </w:rPr>
        <w:t>s</w:t>
      </w:r>
      <w:r w:rsidR="00297F11" w:rsidRPr="0071085D">
        <w:rPr>
          <w:lang w:val="en-CA"/>
        </w:rPr>
        <w:t xml:space="preserve"> among</w:t>
      </w:r>
      <w:r w:rsidR="0028408A" w:rsidRPr="0071085D">
        <w:rPr>
          <w:lang w:val="en-CA"/>
        </w:rPr>
        <w:t xml:space="preserve"> American</w:t>
      </w:r>
      <w:r w:rsidR="00297F11" w:rsidRPr="0071085D">
        <w:rPr>
          <w:lang w:val="en-CA"/>
        </w:rPr>
        <w:t xml:space="preserve"> adolescents, such as early sexual onset</w:t>
      </w:r>
      <w:r w:rsidR="00773FAE" w:rsidRPr="0071085D">
        <w:rPr>
          <w:lang w:val="en-CA"/>
        </w:rPr>
        <w:t>—</w:t>
      </w:r>
      <w:r w:rsidR="00297F11" w:rsidRPr="0071085D">
        <w:rPr>
          <w:lang w:val="en-CA"/>
        </w:rPr>
        <w:t>albeit mostly among girls</w:t>
      </w:r>
      <w:r w:rsidR="00773FAE" w:rsidRPr="0071085D">
        <w:rPr>
          <w:lang w:val="en-CA"/>
        </w:rPr>
        <w:t>—</w:t>
      </w:r>
      <w:r w:rsidR="00297F11" w:rsidRPr="0071085D">
        <w:rPr>
          <w:lang w:val="en-CA"/>
        </w:rPr>
        <w:t xml:space="preserve">, multiple sexual partnerships, and inconsistent condom use (Ethier et al., 2006). </w:t>
      </w:r>
      <w:r w:rsidR="006F0270" w:rsidRPr="0071085D">
        <w:rPr>
          <w:lang w:val="en-CA"/>
        </w:rPr>
        <w:t>A</w:t>
      </w:r>
      <w:r w:rsidR="00297F11" w:rsidRPr="0071085D">
        <w:rPr>
          <w:lang w:val="en-CA"/>
        </w:rPr>
        <w:t xml:space="preserve"> 15-year follow-up study of healthy Finnish adult twins found that </w:t>
      </w:r>
      <w:r w:rsidR="006F0270" w:rsidRPr="0071085D">
        <w:rPr>
          <w:shd w:val="clear" w:color="auto" w:fill="FFFFFF"/>
          <w:lang w:val="en-CA"/>
        </w:rPr>
        <w:t>lower life satisfaction was related to</w:t>
      </w:r>
      <w:r w:rsidR="00297F11" w:rsidRPr="0071085D">
        <w:rPr>
          <w:shd w:val="clear" w:color="auto" w:fill="FFFFFF"/>
          <w:lang w:val="en-CA"/>
        </w:rPr>
        <w:t xml:space="preserve"> increased risk of </w:t>
      </w:r>
      <w:r w:rsidR="00297F11" w:rsidRPr="0071085D">
        <w:rPr>
          <w:lang w:val="en-CA"/>
        </w:rPr>
        <w:t>high alcohol</w:t>
      </w:r>
      <w:r w:rsidR="006F0270" w:rsidRPr="0071085D">
        <w:rPr>
          <w:lang w:val="en-CA"/>
        </w:rPr>
        <w:t xml:space="preserve"> </w:t>
      </w:r>
      <w:r w:rsidR="00297F11" w:rsidRPr="0071085D">
        <w:rPr>
          <w:lang w:val="en-CA"/>
        </w:rPr>
        <w:t>use (i.e., binge drinking; Koivumaa-Honkanen et al., 2012).</w:t>
      </w:r>
      <w:r w:rsidR="00297F11" w:rsidRPr="0071085D">
        <w:rPr>
          <w:shd w:val="clear" w:color="auto" w:fill="FFFFFF"/>
          <w:lang w:val="en-CA"/>
        </w:rPr>
        <w:t xml:space="preserve"> </w:t>
      </w:r>
      <w:r w:rsidR="00297F11" w:rsidRPr="0071085D">
        <w:rPr>
          <w:lang w:val="en-CA"/>
        </w:rPr>
        <w:t xml:space="preserve">Another birth cohort study in Australia found </w:t>
      </w:r>
      <w:r w:rsidR="00297F11" w:rsidRPr="0071085D">
        <w:rPr>
          <w:shd w:val="clear" w:color="auto" w:fill="FFFFFF"/>
          <w:lang w:val="en-CA"/>
        </w:rPr>
        <w:t xml:space="preserve">that participants who used cannabis more frequently had a </w:t>
      </w:r>
      <w:r w:rsidR="00297F11" w:rsidRPr="0071085D">
        <w:rPr>
          <w:lang w:val="en-CA"/>
        </w:rPr>
        <w:t xml:space="preserve">lower quality of life </w:t>
      </w:r>
      <w:r w:rsidR="00297F11" w:rsidRPr="0071085D">
        <w:rPr>
          <w:shd w:val="clear" w:color="auto" w:fill="FFFFFF"/>
          <w:lang w:val="en-CA"/>
        </w:rPr>
        <w:t xml:space="preserve">at </w:t>
      </w:r>
      <w:r w:rsidR="005A1725" w:rsidRPr="0071085D">
        <w:rPr>
          <w:shd w:val="clear" w:color="auto" w:fill="FFFFFF"/>
          <w:lang w:val="en-CA"/>
        </w:rPr>
        <w:t xml:space="preserve">a </w:t>
      </w:r>
      <w:r w:rsidR="00297F11" w:rsidRPr="0071085D">
        <w:rPr>
          <w:shd w:val="clear" w:color="auto" w:fill="FFFFFF"/>
          <w:lang w:val="en-CA"/>
        </w:rPr>
        <w:t xml:space="preserve">21-years </w:t>
      </w:r>
      <w:r w:rsidR="00297F11" w:rsidRPr="0071085D">
        <w:rPr>
          <w:shd w:val="clear" w:color="auto" w:fill="FFFFFF"/>
          <w:lang w:val="en-CA"/>
        </w:rPr>
        <w:lastRenderedPageBreak/>
        <w:t xml:space="preserve">follow-up </w:t>
      </w:r>
      <w:r w:rsidR="00297F11" w:rsidRPr="0071085D">
        <w:rPr>
          <w:lang w:val="en-CA"/>
        </w:rPr>
        <w:t>(Fischer</w:t>
      </w:r>
      <w:r w:rsidR="00657734" w:rsidRPr="0071085D">
        <w:rPr>
          <w:lang w:val="en-CA"/>
        </w:rPr>
        <w:t xml:space="preserve"> et al.</w:t>
      </w:r>
      <w:r w:rsidR="00297F11" w:rsidRPr="0071085D">
        <w:rPr>
          <w:lang w:val="en-CA"/>
        </w:rPr>
        <w:t>, 2015).</w:t>
      </w:r>
      <w:r w:rsidR="00297F11" w:rsidRPr="0071085D">
        <w:rPr>
          <w:shd w:val="clear" w:color="auto" w:fill="FFFFFF"/>
          <w:lang w:val="en-CA"/>
        </w:rPr>
        <w:t xml:space="preserve"> </w:t>
      </w:r>
    </w:p>
    <w:bookmarkEnd w:id="1"/>
    <w:bookmarkEnd w:id="2"/>
    <w:p w14:paraId="76A897B5" w14:textId="7C3B4181" w:rsidR="00E010F3" w:rsidRPr="0071085D" w:rsidRDefault="00352AD8" w:rsidP="00E010F3">
      <w:pPr>
        <w:widowControl w:val="0"/>
        <w:autoSpaceDE w:val="0"/>
        <w:autoSpaceDN w:val="0"/>
        <w:adjustRightInd w:val="0"/>
        <w:spacing w:after="0" w:line="480" w:lineRule="auto"/>
        <w:rPr>
          <w:rStyle w:val="NotedebasdepageCar"/>
          <w:rFonts w:eastAsia="Times"/>
          <w:b/>
          <w:sz w:val="24"/>
          <w:lang w:val="en-CA"/>
        </w:rPr>
      </w:pPr>
      <w:r w:rsidRPr="0071085D">
        <w:rPr>
          <w:rStyle w:val="NotedebasdepageCar"/>
          <w:rFonts w:eastAsia="Times"/>
          <w:b/>
          <w:sz w:val="24"/>
          <w:lang w:val="en-CA"/>
        </w:rPr>
        <w:t xml:space="preserve">Sexual </w:t>
      </w:r>
      <w:r w:rsidR="006E7A71" w:rsidRPr="0071085D">
        <w:rPr>
          <w:rStyle w:val="NotedebasdepageCar"/>
          <w:rFonts w:eastAsia="Times"/>
          <w:b/>
          <w:sz w:val="24"/>
          <w:lang w:val="en-CA"/>
        </w:rPr>
        <w:t xml:space="preserve">Risk-Taking </w:t>
      </w:r>
      <w:bookmarkStart w:id="3" w:name="_Hlk485399566"/>
    </w:p>
    <w:p w14:paraId="7A314BAC" w14:textId="0D9AE0DA" w:rsidR="00CF036C" w:rsidRPr="0071085D" w:rsidRDefault="00297F11" w:rsidP="00003B35">
      <w:pPr>
        <w:widowControl w:val="0"/>
        <w:shd w:val="clear" w:color="auto" w:fill="FFFFFF"/>
        <w:spacing w:after="0" w:line="480" w:lineRule="auto"/>
        <w:ind w:firstLine="708"/>
        <w:contextualSpacing/>
        <w:rPr>
          <w:rFonts w:eastAsia="Times New Roman"/>
          <w:sz w:val="20"/>
          <w:szCs w:val="20"/>
          <w:lang w:val="en-US"/>
        </w:rPr>
      </w:pPr>
      <w:r w:rsidRPr="0071085D">
        <w:rPr>
          <w:rStyle w:val="NotedebasdepageCar"/>
          <w:rFonts w:eastAsia="Times"/>
          <w:sz w:val="24"/>
          <w:szCs w:val="24"/>
          <w:lang w:val="en-CA"/>
        </w:rPr>
        <w:t>R</w:t>
      </w:r>
      <w:r w:rsidRPr="0071085D">
        <w:rPr>
          <w:color w:val="000000"/>
          <w:lang w:val="en-CA"/>
        </w:rPr>
        <w:t>ates of STIs have increased over the last 15 years</w:t>
      </w:r>
      <w:r w:rsidR="00710EC5" w:rsidRPr="0071085D">
        <w:rPr>
          <w:color w:val="000000"/>
          <w:lang w:val="en-CA"/>
        </w:rPr>
        <w:t>, especially</w:t>
      </w:r>
      <w:r w:rsidRPr="0071085D">
        <w:rPr>
          <w:color w:val="000000"/>
          <w:lang w:val="en-CA"/>
        </w:rPr>
        <w:t xml:space="preserve"> among emerging adults</w:t>
      </w:r>
      <w:r w:rsidRPr="0071085D">
        <w:rPr>
          <w:color w:val="000000"/>
          <w:shd w:val="clear" w:color="auto" w:fill="FFFFFF"/>
          <w:lang w:val="en-CA"/>
        </w:rPr>
        <w:t xml:space="preserve">. </w:t>
      </w:r>
      <w:r w:rsidR="00C11BC1" w:rsidRPr="0071085D">
        <w:rPr>
          <w:color w:val="000000"/>
          <w:shd w:val="clear" w:color="auto" w:fill="FFFFFF"/>
          <w:lang w:val="en-CA"/>
        </w:rPr>
        <w:t>A</w:t>
      </w:r>
      <w:r w:rsidRPr="0071085D">
        <w:rPr>
          <w:color w:val="000000"/>
          <w:shd w:val="clear" w:color="auto" w:fill="FFFFFF"/>
          <w:lang w:val="en-CA"/>
        </w:rPr>
        <w:t>mong sexually active adults aged 21 to 29 years</w:t>
      </w:r>
      <w:r w:rsidR="0028408A" w:rsidRPr="0071085D">
        <w:rPr>
          <w:color w:val="000000"/>
          <w:shd w:val="clear" w:color="auto" w:fill="FFFFFF"/>
          <w:lang w:val="en-CA"/>
        </w:rPr>
        <w:t xml:space="preserve"> in Quebec</w:t>
      </w:r>
      <w:r w:rsidRPr="0071085D">
        <w:rPr>
          <w:color w:val="000000"/>
          <w:shd w:val="clear" w:color="auto" w:fill="FFFFFF"/>
          <w:lang w:val="en-CA"/>
        </w:rPr>
        <w:t xml:space="preserve">, </w:t>
      </w:r>
      <w:r w:rsidRPr="0071085D">
        <w:rPr>
          <w:rFonts w:eastAsia="HelveticaNeueLTStd-Roman"/>
          <w:color w:val="000000"/>
          <w:lang w:val="en-CA"/>
        </w:rPr>
        <w:t xml:space="preserve">the prevalence rates of </w:t>
      </w:r>
      <w:r w:rsidRPr="0071085D">
        <w:rPr>
          <w:color w:val="000000"/>
          <w:shd w:val="clear" w:color="auto" w:fill="FFFFFF"/>
          <w:lang w:val="en-CA"/>
        </w:rPr>
        <w:t xml:space="preserve">chlamydia </w:t>
      </w:r>
      <w:r w:rsidRPr="0071085D">
        <w:rPr>
          <w:lang w:val="en-CA"/>
        </w:rPr>
        <w:t xml:space="preserve">among males and females, respectively, </w:t>
      </w:r>
      <w:r w:rsidRPr="0071085D">
        <w:rPr>
          <w:color w:val="000000"/>
          <w:shd w:val="clear" w:color="auto" w:fill="FFFFFF"/>
          <w:lang w:val="en-CA"/>
        </w:rPr>
        <w:t>are 10</w:t>
      </w:r>
      <w:r w:rsidR="0028408A" w:rsidRPr="0071085D">
        <w:rPr>
          <w:color w:val="000000"/>
          <w:shd w:val="clear" w:color="auto" w:fill="FFFFFF"/>
          <w:lang w:val="en-CA"/>
        </w:rPr>
        <w:t>.0</w:t>
      </w:r>
      <w:r w:rsidRPr="0071085D">
        <w:rPr>
          <w:color w:val="000000"/>
          <w:shd w:val="clear" w:color="auto" w:fill="FFFFFF"/>
          <w:lang w:val="en-CA"/>
        </w:rPr>
        <w:t>%</w:t>
      </w:r>
      <w:r w:rsidRPr="0071085D">
        <w:rPr>
          <w:lang w:val="en-CA"/>
        </w:rPr>
        <w:t xml:space="preserve"> and 18.7%</w:t>
      </w:r>
      <w:r w:rsidRPr="0071085D">
        <w:rPr>
          <w:rFonts w:eastAsia="HelveticaNeueLTStd-Roman"/>
          <w:color w:val="000000"/>
          <w:lang w:val="en-CA"/>
        </w:rPr>
        <w:t xml:space="preserve">, and for </w:t>
      </w:r>
      <w:r w:rsidRPr="0071085D">
        <w:rPr>
          <w:color w:val="000000"/>
          <w:shd w:val="clear" w:color="auto" w:fill="FFFFFF"/>
          <w:lang w:val="en-CA"/>
        </w:rPr>
        <w:t>gonorrhea, 1.4%</w:t>
      </w:r>
      <w:r w:rsidRPr="0071085D">
        <w:rPr>
          <w:lang w:val="en-CA"/>
        </w:rPr>
        <w:t xml:space="preserve"> and 1.9% </w:t>
      </w:r>
      <w:r w:rsidRPr="0071085D">
        <w:rPr>
          <w:color w:val="000000"/>
          <w:shd w:val="clear" w:color="auto" w:fill="FFFFFF"/>
          <w:lang w:val="en-CA"/>
        </w:rPr>
        <w:t>(Lambert et al., 2017).</w:t>
      </w:r>
      <w:r w:rsidRPr="0071085D">
        <w:rPr>
          <w:lang w:val="en-CA"/>
        </w:rPr>
        <w:t xml:space="preserve"> </w:t>
      </w:r>
      <w:r w:rsidRPr="0071085D">
        <w:rPr>
          <w:color w:val="000000"/>
          <w:shd w:val="clear" w:color="auto" w:fill="FFFFFF"/>
          <w:lang w:val="en-CA"/>
        </w:rPr>
        <w:t xml:space="preserve">This is concerning considering that not all </w:t>
      </w:r>
      <w:r w:rsidR="006F0270" w:rsidRPr="0071085D">
        <w:rPr>
          <w:color w:val="000000"/>
          <w:shd w:val="clear" w:color="auto" w:fill="FFFFFF"/>
          <w:lang w:val="en-CA"/>
        </w:rPr>
        <w:t>emerging adults</w:t>
      </w:r>
      <w:r w:rsidRPr="0071085D">
        <w:rPr>
          <w:color w:val="000000"/>
          <w:shd w:val="clear" w:color="auto" w:fill="FFFFFF"/>
          <w:lang w:val="en-CA"/>
        </w:rPr>
        <w:t xml:space="preserve"> have transitioned to an active sex life.</w:t>
      </w:r>
      <w:r w:rsidRPr="0071085D">
        <w:rPr>
          <w:lang w:val="en-CA"/>
        </w:rPr>
        <w:t xml:space="preserve"> </w:t>
      </w:r>
      <w:r w:rsidR="006300E7" w:rsidRPr="0071085D">
        <w:rPr>
          <w:lang w:val="en-CA"/>
        </w:rPr>
        <w:t>S</w:t>
      </w:r>
      <w:r w:rsidR="007870A5" w:rsidRPr="0071085D">
        <w:rPr>
          <w:lang w:val="en-CA"/>
        </w:rPr>
        <w:t xml:space="preserve">exual </w:t>
      </w:r>
      <w:r w:rsidR="0028408A" w:rsidRPr="0071085D">
        <w:rPr>
          <w:lang w:val="en-CA"/>
        </w:rPr>
        <w:t xml:space="preserve">risk-taking </w:t>
      </w:r>
      <w:r w:rsidR="007870A5" w:rsidRPr="0071085D">
        <w:rPr>
          <w:lang w:val="en-CA"/>
        </w:rPr>
        <w:t xml:space="preserve">behaviors (i.e., early onset, multiple partners, </w:t>
      </w:r>
      <w:r w:rsidR="00E1022C" w:rsidRPr="0071085D">
        <w:rPr>
          <w:lang w:val="en-CA"/>
        </w:rPr>
        <w:t xml:space="preserve">inconsistent </w:t>
      </w:r>
      <w:r w:rsidR="007870A5" w:rsidRPr="0071085D">
        <w:rPr>
          <w:lang w:val="en-CA"/>
        </w:rPr>
        <w:t>condom</w:t>
      </w:r>
      <w:r w:rsidR="00E1022C" w:rsidRPr="0071085D">
        <w:rPr>
          <w:lang w:val="en-CA"/>
        </w:rPr>
        <w:t xml:space="preserve"> use</w:t>
      </w:r>
      <w:r w:rsidR="007870A5" w:rsidRPr="0071085D">
        <w:rPr>
          <w:lang w:val="en-CA"/>
        </w:rPr>
        <w:t xml:space="preserve">) tend to </w:t>
      </w:r>
      <w:r w:rsidR="006F0270" w:rsidRPr="0071085D">
        <w:rPr>
          <w:lang w:val="en-CA"/>
        </w:rPr>
        <w:t>co</w:t>
      </w:r>
      <w:r w:rsidR="008A367E" w:rsidRPr="0071085D">
        <w:rPr>
          <w:lang w:val="en-CA"/>
        </w:rPr>
        <w:t>-</w:t>
      </w:r>
      <w:r w:rsidR="006F0270" w:rsidRPr="0071085D">
        <w:rPr>
          <w:lang w:val="en-CA"/>
        </w:rPr>
        <w:t>occur</w:t>
      </w:r>
      <w:r w:rsidR="007870A5" w:rsidRPr="0071085D">
        <w:rPr>
          <w:lang w:val="en-CA"/>
        </w:rPr>
        <w:t xml:space="preserve"> </w:t>
      </w:r>
      <w:r w:rsidR="006E7A71" w:rsidRPr="0071085D">
        <w:rPr>
          <w:lang w:val="en-CA"/>
        </w:rPr>
        <w:t xml:space="preserve">and </w:t>
      </w:r>
      <w:r w:rsidR="007870A5" w:rsidRPr="0071085D">
        <w:rPr>
          <w:lang w:val="en-CA"/>
        </w:rPr>
        <w:t xml:space="preserve">cluster </w:t>
      </w:r>
      <w:r w:rsidR="0028408A" w:rsidRPr="0071085D">
        <w:rPr>
          <w:lang w:val="en-CA"/>
        </w:rPr>
        <w:t xml:space="preserve">within </w:t>
      </w:r>
      <w:r w:rsidR="007870A5" w:rsidRPr="0071085D">
        <w:rPr>
          <w:lang w:val="en-CA"/>
        </w:rPr>
        <w:t>the same individuals (Beadnell et al., 2005; Boislard</w:t>
      </w:r>
      <w:r w:rsidR="00DB16D3" w:rsidRPr="0071085D">
        <w:rPr>
          <w:lang w:val="en-CA"/>
        </w:rPr>
        <w:t xml:space="preserve"> et al.</w:t>
      </w:r>
      <w:r w:rsidR="007870A5" w:rsidRPr="0071085D">
        <w:rPr>
          <w:lang w:val="en-CA"/>
        </w:rPr>
        <w:t>, 2009; Vasilenko</w:t>
      </w:r>
      <w:r w:rsidR="00DB16D3" w:rsidRPr="0071085D">
        <w:rPr>
          <w:lang w:val="en-CA"/>
        </w:rPr>
        <w:t xml:space="preserve"> et al.</w:t>
      </w:r>
      <w:r w:rsidR="007870A5" w:rsidRPr="0071085D">
        <w:rPr>
          <w:lang w:val="en-CA"/>
        </w:rPr>
        <w:t>, 2015</w:t>
      </w:r>
      <w:proofErr w:type="gramStart"/>
      <w:r w:rsidR="007870A5" w:rsidRPr="0071085D">
        <w:rPr>
          <w:lang w:val="en-CA"/>
        </w:rPr>
        <w:t>), and</w:t>
      </w:r>
      <w:proofErr w:type="gramEnd"/>
      <w:r w:rsidR="006F0270" w:rsidRPr="0071085D">
        <w:rPr>
          <w:lang w:val="en-CA"/>
        </w:rPr>
        <w:t xml:space="preserve"> are</w:t>
      </w:r>
      <w:r w:rsidR="007870A5" w:rsidRPr="0071085D">
        <w:rPr>
          <w:lang w:val="en-CA"/>
        </w:rPr>
        <w:t xml:space="preserve"> directly involved in high </w:t>
      </w:r>
      <w:r w:rsidR="005A1725" w:rsidRPr="0071085D">
        <w:rPr>
          <w:lang w:val="en-CA"/>
        </w:rPr>
        <w:t xml:space="preserve">STI </w:t>
      </w:r>
      <w:r w:rsidR="007870A5" w:rsidRPr="0071085D">
        <w:rPr>
          <w:lang w:val="en-CA"/>
        </w:rPr>
        <w:t>prevalence rates</w:t>
      </w:r>
      <w:r w:rsidR="0028408A" w:rsidRPr="0071085D">
        <w:rPr>
          <w:lang w:val="en-CA"/>
        </w:rPr>
        <w:t xml:space="preserve"> </w:t>
      </w:r>
      <w:r w:rsidR="006F0270" w:rsidRPr="0071085D">
        <w:rPr>
          <w:lang w:val="en-CA"/>
        </w:rPr>
        <w:t>(</w:t>
      </w:r>
      <w:r w:rsidR="007870A5" w:rsidRPr="0071085D">
        <w:rPr>
          <w:lang w:val="en-CA"/>
        </w:rPr>
        <w:t xml:space="preserve">Vasilenko et al., 2015). </w:t>
      </w:r>
      <w:r w:rsidR="000778A9" w:rsidRPr="0071085D">
        <w:rPr>
          <w:rStyle w:val="NotedebasdepageCar"/>
          <w:rFonts w:eastAsia="Times"/>
          <w:sz w:val="24"/>
          <w:szCs w:val="24"/>
          <w:lang w:val="en-CA"/>
        </w:rPr>
        <w:t xml:space="preserve">Empirical evidence on the risks associated </w:t>
      </w:r>
      <w:r w:rsidR="00DB16D3" w:rsidRPr="0071085D">
        <w:rPr>
          <w:rStyle w:val="NotedebasdepageCar"/>
          <w:rFonts w:eastAsia="Times"/>
          <w:sz w:val="24"/>
          <w:szCs w:val="24"/>
          <w:lang w:val="en-CA"/>
        </w:rPr>
        <w:t xml:space="preserve">with </w:t>
      </w:r>
      <w:r w:rsidR="000778A9" w:rsidRPr="0071085D">
        <w:rPr>
          <w:rStyle w:val="NotedebasdepageCar"/>
          <w:rFonts w:eastAsia="Times"/>
          <w:b/>
          <w:sz w:val="24"/>
          <w:szCs w:val="24"/>
          <w:lang w:val="en-CA"/>
        </w:rPr>
        <w:t>early sexual onset</w:t>
      </w:r>
      <w:r w:rsidR="000778A9" w:rsidRPr="0071085D">
        <w:rPr>
          <w:lang w:val="en-CA"/>
        </w:rPr>
        <w:t xml:space="preserve"> </w:t>
      </w:r>
      <w:r w:rsidR="000778A9" w:rsidRPr="0071085D">
        <w:rPr>
          <w:rStyle w:val="NotedebasdepageCar"/>
          <w:rFonts w:eastAsia="Times"/>
          <w:sz w:val="24"/>
          <w:szCs w:val="24"/>
          <w:lang w:val="en-CA"/>
        </w:rPr>
        <w:t xml:space="preserve">(i.e., </w:t>
      </w:r>
      <w:r w:rsidR="000778A9" w:rsidRPr="0071085D">
        <w:rPr>
          <w:lang w:val="en-CA"/>
        </w:rPr>
        <w:t>first consensual intercourse at</w:t>
      </w:r>
      <w:r w:rsidR="00DB16D3" w:rsidRPr="0071085D">
        <w:rPr>
          <w:lang w:val="en-CA"/>
        </w:rPr>
        <w:t xml:space="preserve"> or before</w:t>
      </w:r>
      <w:r w:rsidR="000778A9" w:rsidRPr="0071085D">
        <w:rPr>
          <w:lang w:val="en-CA"/>
        </w:rPr>
        <w:t xml:space="preserve"> the age of 15</w:t>
      </w:r>
      <w:r w:rsidR="000778A9" w:rsidRPr="0071085D">
        <w:rPr>
          <w:noProof/>
          <w:lang w:val="en-CA"/>
        </w:rPr>
        <w:t>),</w:t>
      </w:r>
      <w:r w:rsidR="000778A9" w:rsidRPr="0071085D">
        <w:rPr>
          <w:lang w:val="en-CA"/>
        </w:rPr>
        <w:t xml:space="preserve"> </w:t>
      </w:r>
      <w:r w:rsidR="000778A9" w:rsidRPr="0071085D">
        <w:rPr>
          <w:b/>
          <w:lang w:val="en-CA"/>
        </w:rPr>
        <w:t>inconsistent condom use</w:t>
      </w:r>
      <w:r w:rsidR="000778A9" w:rsidRPr="0071085D">
        <w:rPr>
          <w:lang w:val="en-CA"/>
        </w:rPr>
        <w:t>, and</w:t>
      </w:r>
      <w:r w:rsidR="00E1022C" w:rsidRPr="0071085D">
        <w:rPr>
          <w:lang w:val="en-CA"/>
        </w:rPr>
        <w:t xml:space="preserve"> </w:t>
      </w:r>
      <w:r w:rsidR="000778A9" w:rsidRPr="0071085D">
        <w:rPr>
          <w:b/>
          <w:lang w:val="en-CA"/>
        </w:rPr>
        <w:t>multiple sexual partners</w:t>
      </w:r>
      <w:r w:rsidR="00E1022C" w:rsidRPr="0071085D">
        <w:rPr>
          <w:lang w:val="en-CA"/>
        </w:rPr>
        <w:t xml:space="preserve"> cumulation</w:t>
      </w:r>
      <w:r w:rsidR="000778A9" w:rsidRPr="0071085D">
        <w:rPr>
          <w:lang w:val="en-CA"/>
        </w:rPr>
        <w:t xml:space="preserve">, </w:t>
      </w:r>
      <w:r w:rsidR="000778A9" w:rsidRPr="0071085D">
        <w:rPr>
          <w:rStyle w:val="NotedebasdepageCar"/>
          <w:rFonts w:eastAsia="Times"/>
          <w:sz w:val="24"/>
          <w:szCs w:val="24"/>
          <w:lang w:val="en-CA"/>
        </w:rPr>
        <w:t xml:space="preserve">is paramount </w:t>
      </w:r>
      <w:r w:rsidR="000778A9" w:rsidRPr="0071085D">
        <w:rPr>
          <w:noProof/>
          <w:lang w:val="en-CA"/>
        </w:rPr>
        <w:t>(</w:t>
      </w:r>
      <w:r w:rsidR="000778A9" w:rsidRPr="0071085D">
        <w:rPr>
          <w:lang w:val="en-CA"/>
        </w:rPr>
        <w:t>Boislard &amp; Poulin, 2011; Boisvert</w:t>
      </w:r>
      <w:r w:rsidR="00DB16D3" w:rsidRPr="0071085D">
        <w:rPr>
          <w:lang w:val="en-CA"/>
        </w:rPr>
        <w:t xml:space="preserve"> et al.</w:t>
      </w:r>
      <w:r w:rsidR="000778A9" w:rsidRPr="0071085D">
        <w:rPr>
          <w:lang w:val="en-CA"/>
        </w:rPr>
        <w:t>, 2017</w:t>
      </w:r>
      <w:r w:rsidR="000778A9" w:rsidRPr="0071085D">
        <w:rPr>
          <w:noProof/>
          <w:lang w:val="en-CA"/>
        </w:rPr>
        <w:t>)</w:t>
      </w:r>
      <w:r w:rsidR="000778A9" w:rsidRPr="0071085D">
        <w:rPr>
          <w:rStyle w:val="NotedebasdepageCar"/>
          <w:rFonts w:eastAsia="Times"/>
          <w:sz w:val="24"/>
          <w:szCs w:val="24"/>
          <w:lang w:val="en-CA"/>
        </w:rPr>
        <w:t xml:space="preserve">. </w:t>
      </w:r>
      <w:bookmarkEnd w:id="3"/>
      <w:r w:rsidR="00272CB9" w:rsidRPr="0071085D">
        <w:rPr>
          <w:lang w:val="en-CA"/>
        </w:rPr>
        <w:t>C</w:t>
      </w:r>
      <w:r w:rsidR="00272CB9" w:rsidRPr="0071085D">
        <w:rPr>
          <w:rFonts w:eastAsia="Times New Roman"/>
          <w:lang w:val="en-CA"/>
        </w:rPr>
        <w:t>ompared to their on-time peers (i.e. sexual onset between the ages of 16 and 18),</w:t>
      </w:r>
      <w:r w:rsidR="00272CB9" w:rsidRPr="0071085D">
        <w:rPr>
          <w:rStyle w:val="NotedebasdepageCar"/>
          <w:rFonts w:eastAsia="Times"/>
          <w:sz w:val="24"/>
          <w:szCs w:val="24"/>
          <w:lang w:val="en-CA"/>
        </w:rPr>
        <w:t xml:space="preserve"> </w:t>
      </w:r>
      <w:r w:rsidR="006F0270" w:rsidRPr="0071085D">
        <w:rPr>
          <w:rStyle w:val="NotedebasdepageCar"/>
          <w:rFonts w:eastAsia="Times"/>
          <w:sz w:val="24"/>
          <w:szCs w:val="24"/>
          <w:lang w:val="en-CA"/>
        </w:rPr>
        <w:t xml:space="preserve">early-onset </w:t>
      </w:r>
      <w:r w:rsidR="00272CB9" w:rsidRPr="0071085D">
        <w:rPr>
          <w:rStyle w:val="NotedebasdepageCar"/>
          <w:rFonts w:eastAsia="Times"/>
          <w:sz w:val="24"/>
          <w:szCs w:val="24"/>
          <w:lang w:val="en-CA"/>
        </w:rPr>
        <w:t xml:space="preserve">adolescents often </w:t>
      </w:r>
      <w:r w:rsidR="00272CB9" w:rsidRPr="0071085D">
        <w:rPr>
          <w:rFonts w:eastAsia="Times New Roman"/>
          <w:lang w:val="en-CA"/>
        </w:rPr>
        <w:t xml:space="preserve">have less sexual knowledge, confidence, and assertiveness, are </w:t>
      </w:r>
      <w:r w:rsidR="00272CB9" w:rsidRPr="0071085D">
        <w:rPr>
          <w:rStyle w:val="NotedebasdepageCar"/>
          <w:rFonts w:eastAsia="Times"/>
          <w:sz w:val="24"/>
          <w:szCs w:val="24"/>
          <w:lang w:val="en-CA"/>
        </w:rPr>
        <w:t xml:space="preserve">more </w:t>
      </w:r>
      <w:r w:rsidR="00272CB9" w:rsidRPr="0071085D">
        <w:rPr>
          <w:rFonts w:eastAsia="Times New Roman"/>
          <w:lang w:val="en-CA"/>
        </w:rPr>
        <w:t>susceptible to peer pressure, and are more likely to experience non-consensual sexual experiences, STIs, and unintended pregnancies</w:t>
      </w:r>
      <w:r w:rsidR="007E0149" w:rsidRPr="0071085D">
        <w:rPr>
          <w:rFonts w:eastAsia="Times New Roman"/>
          <w:lang w:val="en-CA"/>
        </w:rPr>
        <w:t xml:space="preserve"> </w:t>
      </w:r>
      <w:r w:rsidR="00272CB9" w:rsidRPr="0071085D">
        <w:rPr>
          <w:rFonts w:eastAsia="Times New Roman"/>
          <w:lang w:val="en-CA"/>
        </w:rPr>
        <w:t>(Kaplan</w:t>
      </w:r>
      <w:r w:rsidR="00DB16D3" w:rsidRPr="0071085D">
        <w:rPr>
          <w:rFonts w:eastAsia="Times New Roman"/>
          <w:lang w:val="en-CA"/>
        </w:rPr>
        <w:t xml:space="preserve"> et al.</w:t>
      </w:r>
      <w:r w:rsidR="00272CB9" w:rsidRPr="0071085D">
        <w:rPr>
          <w:rFonts w:eastAsia="Times New Roman"/>
          <w:lang w:val="en-CA"/>
        </w:rPr>
        <w:t xml:space="preserve">, 2013). </w:t>
      </w:r>
      <w:r w:rsidR="00AD2686" w:rsidRPr="0071085D">
        <w:rPr>
          <w:rFonts w:eastAsia="Times New Roman"/>
          <w:lang w:val="en-CA"/>
        </w:rPr>
        <w:t>Since</w:t>
      </w:r>
      <w:r w:rsidR="00272CB9" w:rsidRPr="0071085D">
        <w:rPr>
          <w:lang w:val="en-CA"/>
        </w:rPr>
        <w:t xml:space="preserve"> </w:t>
      </w:r>
      <w:r w:rsidR="00272CB9" w:rsidRPr="0071085D">
        <w:rPr>
          <w:rStyle w:val="NotedebasdepageCar"/>
          <w:rFonts w:eastAsia="Times"/>
          <w:sz w:val="24"/>
          <w:szCs w:val="24"/>
          <w:lang w:val="en-CA"/>
        </w:rPr>
        <w:t>e</w:t>
      </w:r>
      <w:r w:rsidR="0083770B" w:rsidRPr="0071085D">
        <w:rPr>
          <w:rStyle w:val="NotedebasdepageCar"/>
          <w:rFonts w:eastAsia="Times"/>
          <w:sz w:val="24"/>
          <w:szCs w:val="24"/>
          <w:lang w:val="en-CA"/>
        </w:rPr>
        <w:t>arly sexual onset</w:t>
      </w:r>
      <w:r w:rsidR="0083770B" w:rsidRPr="0071085D">
        <w:rPr>
          <w:rStyle w:val="NotedebasdepageCar"/>
          <w:rFonts w:eastAsia="Times"/>
          <w:i/>
          <w:sz w:val="24"/>
          <w:szCs w:val="24"/>
          <w:lang w:val="en-CA"/>
        </w:rPr>
        <w:t xml:space="preserve"> </w:t>
      </w:r>
      <w:r w:rsidR="0083770B" w:rsidRPr="0071085D">
        <w:rPr>
          <w:rStyle w:val="NotedebasdepageCar"/>
          <w:rFonts w:eastAsia="Times"/>
          <w:sz w:val="24"/>
          <w:szCs w:val="24"/>
          <w:lang w:val="en-CA"/>
        </w:rPr>
        <w:t xml:space="preserve">has been found to </w:t>
      </w:r>
      <w:r w:rsidR="0083770B" w:rsidRPr="0071085D">
        <w:rPr>
          <w:lang w:val="en-CA"/>
        </w:rPr>
        <w:t>negatively impact youth</w:t>
      </w:r>
      <w:r w:rsidR="005C32F5" w:rsidRPr="0071085D">
        <w:rPr>
          <w:lang w:val="en-CA"/>
        </w:rPr>
        <w:t>s’</w:t>
      </w:r>
      <w:r w:rsidR="0083770B" w:rsidRPr="0071085D">
        <w:rPr>
          <w:lang w:val="en-CA"/>
        </w:rPr>
        <w:t xml:space="preserve"> psychosexual development</w:t>
      </w:r>
      <w:r w:rsidR="0077389F" w:rsidRPr="0071085D">
        <w:rPr>
          <w:lang w:val="en-CA"/>
        </w:rPr>
        <w:t xml:space="preserve">, </w:t>
      </w:r>
      <w:r w:rsidR="00844483" w:rsidRPr="0071085D">
        <w:rPr>
          <w:lang w:val="en-CA"/>
        </w:rPr>
        <w:t xml:space="preserve">both </w:t>
      </w:r>
      <w:r w:rsidR="0077389F" w:rsidRPr="0071085D">
        <w:rPr>
          <w:lang w:val="en-CA"/>
        </w:rPr>
        <w:t>concurrently and prospectively,</w:t>
      </w:r>
      <w:r w:rsidR="0083770B" w:rsidRPr="0071085D">
        <w:rPr>
          <w:lang w:val="en-CA"/>
        </w:rPr>
        <w:t xml:space="preserve"> due to </w:t>
      </w:r>
      <w:r w:rsidR="00F43C31" w:rsidRPr="0071085D">
        <w:rPr>
          <w:lang w:val="en-CA"/>
        </w:rPr>
        <w:t xml:space="preserve">their </w:t>
      </w:r>
      <w:r w:rsidR="00CF12E7" w:rsidRPr="0071085D">
        <w:rPr>
          <w:lang w:val="en-CA"/>
        </w:rPr>
        <w:t xml:space="preserve">less </w:t>
      </w:r>
      <w:r w:rsidR="00F43C31" w:rsidRPr="0071085D">
        <w:rPr>
          <w:lang w:val="en-CA"/>
        </w:rPr>
        <w:t>developed</w:t>
      </w:r>
      <w:r w:rsidR="0083770B" w:rsidRPr="0071085D">
        <w:rPr>
          <w:lang w:val="en-CA"/>
        </w:rPr>
        <w:t xml:space="preserve"> social, emotional</w:t>
      </w:r>
      <w:r w:rsidR="00F43C31" w:rsidRPr="0071085D">
        <w:rPr>
          <w:lang w:val="en-CA"/>
        </w:rPr>
        <w:t>,</w:t>
      </w:r>
      <w:r w:rsidR="0083770B" w:rsidRPr="0071085D">
        <w:rPr>
          <w:lang w:val="en-CA"/>
        </w:rPr>
        <w:t xml:space="preserve"> and cognitive </w:t>
      </w:r>
      <w:r w:rsidR="00FE67B3" w:rsidRPr="0071085D">
        <w:rPr>
          <w:lang w:val="en-CA"/>
        </w:rPr>
        <w:t>skills</w:t>
      </w:r>
      <w:r w:rsidR="00F43C31" w:rsidRPr="0071085D">
        <w:rPr>
          <w:lang w:val="en-CA"/>
        </w:rPr>
        <w:t>, which</w:t>
      </w:r>
      <w:r w:rsidR="0083770B" w:rsidRPr="0071085D">
        <w:rPr>
          <w:lang w:val="en-CA"/>
        </w:rPr>
        <w:t xml:space="preserve"> </w:t>
      </w:r>
      <w:r w:rsidR="00F43C31" w:rsidRPr="0071085D">
        <w:rPr>
          <w:lang w:val="en-CA"/>
        </w:rPr>
        <w:t>tend to increase</w:t>
      </w:r>
      <w:r w:rsidR="0083770B" w:rsidRPr="0071085D">
        <w:rPr>
          <w:lang w:val="en-CA"/>
        </w:rPr>
        <w:t xml:space="preserve"> with age</w:t>
      </w:r>
      <w:r w:rsidR="00F43C31" w:rsidRPr="0071085D">
        <w:rPr>
          <w:lang w:val="en-CA"/>
        </w:rPr>
        <w:t xml:space="preserve"> and </w:t>
      </w:r>
      <w:r w:rsidR="0083770B" w:rsidRPr="0071085D">
        <w:rPr>
          <w:lang w:val="en-CA"/>
        </w:rPr>
        <w:t>romantic and sexual experiences (</w:t>
      </w:r>
      <w:r w:rsidR="0083770B" w:rsidRPr="0071085D">
        <w:rPr>
          <w:noProof/>
          <w:lang w:val="en-CA"/>
        </w:rPr>
        <w:t>Dixon-Mueller, 2008)</w:t>
      </w:r>
      <w:r w:rsidR="00AD2686" w:rsidRPr="0071085D">
        <w:rPr>
          <w:noProof/>
          <w:lang w:val="en-CA"/>
        </w:rPr>
        <w:t>,</w:t>
      </w:r>
      <w:r w:rsidR="008A367E" w:rsidRPr="0071085D">
        <w:rPr>
          <w:noProof/>
          <w:lang w:val="en-CA"/>
        </w:rPr>
        <w:t xml:space="preserve"> </w:t>
      </w:r>
      <w:r w:rsidR="00AD2686" w:rsidRPr="0071085D">
        <w:rPr>
          <w:noProof/>
          <w:lang w:val="en-CA"/>
        </w:rPr>
        <w:t>it</w:t>
      </w:r>
      <w:r w:rsidR="00AD2686" w:rsidRPr="0071085D">
        <w:rPr>
          <w:rFonts w:eastAsia="Times New Roman"/>
          <w:lang w:val="en-CA"/>
        </w:rPr>
        <w:t xml:space="preserve"> is considered </w:t>
      </w:r>
      <w:r w:rsidR="006F0270" w:rsidRPr="0071085D">
        <w:rPr>
          <w:rFonts w:eastAsia="Times New Roman"/>
          <w:lang w:val="en-CA"/>
        </w:rPr>
        <w:t>a</w:t>
      </w:r>
      <w:r w:rsidR="00AD2686" w:rsidRPr="0071085D">
        <w:rPr>
          <w:rFonts w:eastAsia="Times New Roman"/>
          <w:lang w:val="en-CA"/>
        </w:rPr>
        <w:t xml:space="preserve"> risk</w:t>
      </w:r>
      <w:r w:rsidR="006F0270" w:rsidRPr="0071085D">
        <w:rPr>
          <w:rFonts w:eastAsia="Times New Roman"/>
          <w:lang w:val="en-CA"/>
        </w:rPr>
        <w:t>-taking behavior</w:t>
      </w:r>
      <w:r w:rsidR="0083770B" w:rsidRPr="0071085D">
        <w:rPr>
          <w:noProof/>
          <w:lang w:val="en-CA"/>
        </w:rPr>
        <w:t>.</w:t>
      </w:r>
      <w:r w:rsidR="0083770B" w:rsidRPr="0071085D">
        <w:rPr>
          <w:rStyle w:val="NotedebasdepageCar"/>
          <w:rFonts w:eastAsia="Times"/>
          <w:sz w:val="24"/>
          <w:szCs w:val="24"/>
          <w:lang w:val="en-CA"/>
        </w:rPr>
        <w:t xml:space="preserve"> </w:t>
      </w:r>
      <w:r w:rsidR="00F071DF" w:rsidRPr="0071085D">
        <w:rPr>
          <w:lang w:val="en-CA"/>
        </w:rPr>
        <w:t>I</w:t>
      </w:r>
      <w:r w:rsidR="0028408A" w:rsidRPr="0071085D">
        <w:rPr>
          <w:shd w:val="clear" w:color="auto" w:fill="FFFFFF"/>
          <w:lang w:val="en-CA"/>
        </w:rPr>
        <w:t>n America</w:t>
      </w:r>
      <w:r w:rsidR="00466721" w:rsidRPr="0071085D">
        <w:rPr>
          <w:shd w:val="clear" w:color="auto" w:fill="FFFFFF"/>
          <w:lang w:val="en-CA"/>
        </w:rPr>
        <w:t>, compared to youth</w:t>
      </w:r>
      <w:r w:rsidR="00844483" w:rsidRPr="0071085D">
        <w:rPr>
          <w:shd w:val="clear" w:color="auto" w:fill="FFFFFF"/>
          <w:lang w:val="en-CA"/>
        </w:rPr>
        <w:t xml:space="preserve"> </w:t>
      </w:r>
      <w:r w:rsidR="00466721" w:rsidRPr="0071085D">
        <w:rPr>
          <w:shd w:val="clear" w:color="auto" w:fill="FFFFFF"/>
          <w:lang w:val="en-CA"/>
        </w:rPr>
        <w:t xml:space="preserve">with only one lifetime sexual partner, STIs rates are higher among </w:t>
      </w:r>
      <w:r w:rsidR="00A62524" w:rsidRPr="0071085D">
        <w:rPr>
          <w:shd w:val="clear" w:color="auto" w:fill="FFFFFF"/>
          <w:lang w:val="en-CA"/>
        </w:rPr>
        <w:t xml:space="preserve">youth with multiple sex partners </w:t>
      </w:r>
      <w:r w:rsidR="00466721" w:rsidRPr="0071085D">
        <w:rPr>
          <w:shd w:val="clear" w:color="auto" w:fill="FFFFFF"/>
          <w:lang w:val="en-CA"/>
        </w:rPr>
        <w:t xml:space="preserve">(ratio 3:1; </w:t>
      </w:r>
      <w:r w:rsidR="009D2CFC" w:rsidRPr="0071085D">
        <w:rPr>
          <w:shd w:val="clear" w:color="auto" w:fill="FFFFFF"/>
          <w:lang w:val="en-CA"/>
        </w:rPr>
        <w:t>Forhan et al., 2009)</w:t>
      </w:r>
      <w:r w:rsidR="003C7153" w:rsidRPr="0071085D">
        <w:rPr>
          <w:shd w:val="clear" w:color="auto" w:fill="FFFFFF"/>
          <w:lang w:val="en-CA"/>
        </w:rPr>
        <w:t xml:space="preserve">, </w:t>
      </w:r>
      <w:r w:rsidR="00D7763D" w:rsidRPr="0071085D">
        <w:rPr>
          <w:shd w:val="clear" w:color="auto" w:fill="FFFFFF"/>
          <w:lang w:val="en-CA"/>
        </w:rPr>
        <w:t xml:space="preserve">mostly </w:t>
      </w:r>
      <w:r w:rsidR="003C7153" w:rsidRPr="0071085D">
        <w:rPr>
          <w:shd w:val="clear" w:color="auto" w:fill="FFFFFF"/>
          <w:lang w:val="en-CA"/>
        </w:rPr>
        <w:t>due to</w:t>
      </w:r>
      <w:r w:rsidR="00D7763D" w:rsidRPr="0071085D">
        <w:rPr>
          <w:shd w:val="clear" w:color="auto" w:fill="FFFFFF"/>
          <w:lang w:val="en-CA"/>
        </w:rPr>
        <w:t xml:space="preserve"> inconsistent condom use</w:t>
      </w:r>
      <w:r w:rsidR="009D2CFC" w:rsidRPr="0071085D">
        <w:rPr>
          <w:shd w:val="clear" w:color="auto" w:fill="FFFFFF"/>
          <w:lang w:val="en-CA"/>
        </w:rPr>
        <w:t xml:space="preserve"> (</w:t>
      </w:r>
      <w:r w:rsidR="00016A68" w:rsidRPr="0071085D">
        <w:rPr>
          <w:rFonts w:eastAsia="Times New Roman"/>
          <w:lang w:val="en-CA"/>
        </w:rPr>
        <w:t xml:space="preserve">Boislard et al., 2016; </w:t>
      </w:r>
      <w:r w:rsidR="009D2CFC" w:rsidRPr="0071085D">
        <w:rPr>
          <w:shd w:val="clear" w:color="auto" w:fill="FFFFFF"/>
          <w:lang w:val="en-CA"/>
        </w:rPr>
        <w:t>Zhao</w:t>
      </w:r>
      <w:r w:rsidR="000B21B5" w:rsidRPr="0071085D">
        <w:rPr>
          <w:shd w:val="clear" w:color="auto" w:fill="FFFFFF"/>
          <w:lang w:val="en-CA"/>
        </w:rPr>
        <w:t xml:space="preserve"> et al.</w:t>
      </w:r>
      <w:r w:rsidR="009D2CFC" w:rsidRPr="0071085D">
        <w:rPr>
          <w:shd w:val="clear" w:color="auto" w:fill="FFFFFF"/>
          <w:lang w:val="en-CA"/>
        </w:rPr>
        <w:t>, 2017</w:t>
      </w:r>
      <w:r w:rsidR="00C274D0" w:rsidRPr="0071085D">
        <w:rPr>
          <w:shd w:val="clear" w:color="auto" w:fill="FFFFFF"/>
          <w:lang w:val="en-CA"/>
        </w:rPr>
        <w:t xml:space="preserve">). </w:t>
      </w:r>
      <w:r w:rsidR="005911D4" w:rsidRPr="0071085D">
        <w:rPr>
          <w:lang w:val="en-CA"/>
        </w:rPr>
        <w:t xml:space="preserve">Despite limited research on </w:t>
      </w:r>
      <w:r w:rsidR="00E560FF" w:rsidRPr="0071085D">
        <w:rPr>
          <w:b/>
          <w:lang w:val="en-CA"/>
        </w:rPr>
        <w:t>u</w:t>
      </w:r>
      <w:r w:rsidR="00515E77" w:rsidRPr="0071085D">
        <w:rPr>
          <w:b/>
          <w:lang w:val="en-CA"/>
        </w:rPr>
        <w:t xml:space="preserve">nconventional </w:t>
      </w:r>
      <w:r w:rsidR="00E560FF" w:rsidRPr="0071085D">
        <w:rPr>
          <w:b/>
          <w:lang w:val="en-CA"/>
        </w:rPr>
        <w:t>s</w:t>
      </w:r>
      <w:r w:rsidR="00515E77" w:rsidRPr="0071085D">
        <w:rPr>
          <w:b/>
          <w:lang w:val="en-CA"/>
        </w:rPr>
        <w:t xml:space="preserve">exual </w:t>
      </w:r>
      <w:r w:rsidR="00E560FF" w:rsidRPr="0071085D">
        <w:rPr>
          <w:b/>
          <w:lang w:val="en-CA"/>
        </w:rPr>
        <w:t>b</w:t>
      </w:r>
      <w:r w:rsidR="00515E77" w:rsidRPr="0071085D">
        <w:rPr>
          <w:b/>
          <w:lang w:val="en-CA"/>
        </w:rPr>
        <w:t>ehaviors</w:t>
      </w:r>
      <w:r w:rsidR="00515E77" w:rsidRPr="0071085D">
        <w:rPr>
          <w:i/>
          <w:lang w:val="en-CA"/>
        </w:rPr>
        <w:t xml:space="preserve"> </w:t>
      </w:r>
      <w:r w:rsidR="00515E77" w:rsidRPr="0071085D">
        <w:rPr>
          <w:lang w:val="en-CA"/>
        </w:rPr>
        <w:t>(</w:t>
      </w:r>
      <w:r w:rsidR="00E8445E" w:rsidRPr="0071085D">
        <w:rPr>
          <w:lang w:val="en-CA"/>
        </w:rPr>
        <w:t>e.g.,</w:t>
      </w:r>
      <w:r w:rsidR="005911D4" w:rsidRPr="0071085D">
        <w:rPr>
          <w:lang w:val="en-CA"/>
        </w:rPr>
        <w:t xml:space="preserve"> group</w:t>
      </w:r>
      <w:r w:rsidR="00E560FF" w:rsidRPr="0071085D">
        <w:rPr>
          <w:lang w:val="en-CA"/>
        </w:rPr>
        <w:t xml:space="preserve"> </w:t>
      </w:r>
      <w:r w:rsidR="005911D4" w:rsidRPr="0071085D">
        <w:rPr>
          <w:lang w:val="en-CA"/>
        </w:rPr>
        <w:t xml:space="preserve">sex, fisting, bondage, </w:t>
      </w:r>
      <w:r w:rsidR="005911D4" w:rsidRPr="0071085D">
        <w:rPr>
          <w:lang w:val="en-CA"/>
        </w:rPr>
        <w:lastRenderedPageBreak/>
        <w:t>sadomasochism)</w:t>
      </w:r>
      <w:r w:rsidR="00C11BC1" w:rsidRPr="0071085D">
        <w:rPr>
          <w:lang w:val="en-CA"/>
        </w:rPr>
        <w:t>,</w:t>
      </w:r>
      <w:r w:rsidR="005911D4" w:rsidRPr="0071085D">
        <w:rPr>
          <w:lang w:val="en-CA"/>
        </w:rPr>
        <w:t xml:space="preserve"> studies have shown that sexual behaviors involving restraint, pain, or</w:t>
      </w:r>
      <w:r w:rsidR="00E010F3" w:rsidRPr="0071085D">
        <w:rPr>
          <w:lang w:val="en-CA"/>
        </w:rPr>
        <w:t xml:space="preserve"> group sex</w:t>
      </w:r>
      <w:r w:rsidR="005911D4" w:rsidRPr="0071085D">
        <w:rPr>
          <w:lang w:val="en-CA"/>
        </w:rPr>
        <w:t xml:space="preserve"> are practiced by </w:t>
      </w:r>
      <w:r w:rsidR="00AD2686" w:rsidRPr="0071085D">
        <w:rPr>
          <w:lang w:val="en-CA"/>
        </w:rPr>
        <w:t xml:space="preserve">both </w:t>
      </w:r>
      <w:r w:rsidR="005911D4" w:rsidRPr="0071085D">
        <w:rPr>
          <w:lang w:val="en-CA"/>
        </w:rPr>
        <w:t xml:space="preserve">individuals </w:t>
      </w:r>
      <w:r w:rsidR="000B1C0C" w:rsidRPr="0071085D">
        <w:rPr>
          <w:lang w:val="en-CA"/>
        </w:rPr>
        <w:t xml:space="preserve">involved in </w:t>
      </w:r>
      <w:r w:rsidR="005911D4" w:rsidRPr="0071085D">
        <w:rPr>
          <w:lang w:val="en-CA"/>
        </w:rPr>
        <w:t xml:space="preserve">the </w:t>
      </w:r>
      <w:r w:rsidR="005A3BFC" w:rsidRPr="0071085D">
        <w:rPr>
          <w:lang w:val="en-CA"/>
        </w:rPr>
        <w:t xml:space="preserve">bondage and discipline, </w:t>
      </w:r>
      <w:r w:rsidR="00CC7D25" w:rsidRPr="0071085D">
        <w:rPr>
          <w:lang w:val="en-CA"/>
        </w:rPr>
        <w:t>dominance and submission, or sadomasochism (</w:t>
      </w:r>
      <w:r w:rsidR="00BA4C6C" w:rsidRPr="0071085D">
        <w:rPr>
          <w:lang w:val="en-CA"/>
        </w:rPr>
        <w:t>BDSM</w:t>
      </w:r>
      <w:r w:rsidR="00CC7D25" w:rsidRPr="0071085D">
        <w:rPr>
          <w:lang w:val="en-CA"/>
        </w:rPr>
        <w:t>)</w:t>
      </w:r>
      <w:r w:rsidR="005911D4" w:rsidRPr="0071085D">
        <w:rPr>
          <w:lang w:val="en-CA"/>
        </w:rPr>
        <w:t xml:space="preserve"> community (</w:t>
      </w:r>
      <w:r w:rsidR="00BA4C6C" w:rsidRPr="0071085D">
        <w:rPr>
          <w:lang w:val="en-CA"/>
        </w:rPr>
        <w:t>Powell, 2010)</w:t>
      </w:r>
      <w:r w:rsidR="00A647E9" w:rsidRPr="0071085D">
        <w:rPr>
          <w:lang w:val="en-CA"/>
        </w:rPr>
        <w:t>,</w:t>
      </w:r>
      <w:r w:rsidR="005911D4" w:rsidRPr="0071085D">
        <w:rPr>
          <w:lang w:val="en-CA"/>
        </w:rPr>
        <w:t xml:space="preserve"> </w:t>
      </w:r>
      <w:r w:rsidR="000B1C0C" w:rsidRPr="0071085D">
        <w:rPr>
          <w:lang w:val="en-CA"/>
        </w:rPr>
        <w:t>as well as by individuals from the general population</w:t>
      </w:r>
      <w:r w:rsidR="005911D4" w:rsidRPr="0071085D">
        <w:rPr>
          <w:lang w:val="en-CA"/>
        </w:rPr>
        <w:t xml:space="preserve"> </w:t>
      </w:r>
      <w:r w:rsidR="00CC7D25" w:rsidRPr="0071085D">
        <w:rPr>
          <w:lang w:val="en-CA"/>
        </w:rPr>
        <w:t xml:space="preserve">in North America, Australia, and Europe </w:t>
      </w:r>
      <w:r w:rsidR="005911D4" w:rsidRPr="0071085D">
        <w:rPr>
          <w:lang w:val="en-CA"/>
        </w:rPr>
        <w:t>(Cappelletti</w:t>
      </w:r>
      <w:r w:rsidR="004467E5" w:rsidRPr="0071085D">
        <w:rPr>
          <w:lang w:val="en-CA"/>
        </w:rPr>
        <w:t xml:space="preserve"> et al.</w:t>
      </w:r>
      <w:r w:rsidR="005911D4" w:rsidRPr="0071085D">
        <w:rPr>
          <w:lang w:val="en-CA"/>
        </w:rPr>
        <w:t xml:space="preserve">, 2016). </w:t>
      </w:r>
      <w:r w:rsidR="000B1C0C" w:rsidRPr="0071085D">
        <w:rPr>
          <w:lang w:val="en-CA"/>
        </w:rPr>
        <w:t>One</w:t>
      </w:r>
      <w:r w:rsidR="005911D4" w:rsidRPr="0071085D">
        <w:rPr>
          <w:lang w:val="en-CA"/>
        </w:rPr>
        <w:t xml:space="preserve"> </w:t>
      </w:r>
      <w:r w:rsidR="00693ADC" w:rsidRPr="0071085D">
        <w:rPr>
          <w:lang w:val="en-CA"/>
        </w:rPr>
        <w:t xml:space="preserve">Brazilian </w:t>
      </w:r>
      <w:r w:rsidR="00AD2686" w:rsidRPr="0071085D">
        <w:rPr>
          <w:lang w:val="en-CA"/>
        </w:rPr>
        <w:t xml:space="preserve">study has linked </w:t>
      </w:r>
      <w:r w:rsidR="005A3BFC" w:rsidRPr="0071085D">
        <w:rPr>
          <w:lang w:val="en-CA"/>
        </w:rPr>
        <w:t>unconventional sexual behavior</w:t>
      </w:r>
      <w:r w:rsidR="00AD2686" w:rsidRPr="0071085D">
        <w:rPr>
          <w:lang w:val="en-CA"/>
        </w:rPr>
        <w:t>s</w:t>
      </w:r>
      <w:r w:rsidR="005A3BFC" w:rsidRPr="0071085D">
        <w:rPr>
          <w:lang w:val="en-CA"/>
        </w:rPr>
        <w:t xml:space="preserve"> </w:t>
      </w:r>
      <w:r w:rsidR="00887FF7" w:rsidRPr="0071085D">
        <w:rPr>
          <w:lang w:val="en-CA"/>
        </w:rPr>
        <w:t>to</w:t>
      </w:r>
      <w:r w:rsidR="005911D4" w:rsidRPr="0071085D">
        <w:rPr>
          <w:lang w:val="en-CA"/>
        </w:rPr>
        <w:t xml:space="preserve"> </w:t>
      </w:r>
      <w:r w:rsidR="005E7FCE" w:rsidRPr="0071085D">
        <w:rPr>
          <w:lang w:val="en-CA"/>
        </w:rPr>
        <w:t>more lifetime sexual partners</w:t>
      </w:r>
      <w:r w:rsidR="00693ADC" w:rsidRPr="0071085D">
        <w:rPr>
          <w:lang w:val="en-CA"/>
        </w:rPr>
        <w:t xml:space="preserve"> and </w:t>
      </w:r>
      <w:r w:rsidR="005E7FCE" w:rsidRPr="0071085D">
        <w:rPr>
          <w:lang w:val="en-CA"/>
        </w:rPr>
        <w:t xml:space="preserve">more </w:t>
      </w:r>
      <w:r w:rsidR="005911D4" w:rsidRPr="0071085D">
        <w:rPr>
          <w:lang w:val="en-CA"/>
        </w:rPr>
        <w:t>frequent</w:t>
      </w:r>
      <w:r w:rsidR="005E7FCE" w:rsidRPr="0071085D">
        <w:rPr>
          <w:lang w:val="en-CA"/>
        </w:rPr>
        <w:t xml:space="preserve"> sexual activities, </w:t>
      </w:r>
      <w:r w:rsidR="00887FF7" w:rsidRPr="0071085D">
        <w:rPr>
          <w:lang w:val="en-CA"/>
        </w:rPr>
        <w:t>higher rates of</w:t>
      </w:r>
      <w:r w:rsidR="005E7FCE" w:rsidRPr="0071085D">
        <w:rPr>
          <w:lang w:val="en-CA"/>
        </w:rPr>
        <w:t xml:space="preserve"> </w:t>
      </w:r>
      <w:r w:rsidR="005A3BFC" w:rsidRPr="0071085D">
        <w:rPr>
          <w:lang w:val="en-CA"/>
        </w:rPr>
        <w:t>substance</w:t>
      </w:r>
      <w:r w:rsidR="005E7FCE" w:rsidRPr="0071085D">
        <w:rPr>
          <w:lang w:val="en-CA"/>
        </w:rPr>
        <w:t xml:space="preserve"> use</w:t>
      </w:r>
      <w:r w:rsidR="005911D4" w:rsidRPr="0071085D">
        <w:rPr>
          <w:lang w:val="en-CA"/>
        </w:rPr>
        <w:t xml:space="preserve"> and </w:t>
      </w:r>
      <w:r w:rsidR="005E7FCE" w:rsidRPr="0071085D">
        <w:rPr>
          <w:lang w:val="en-CA"/>
        </w:rPr>
        <w:t>dependence</w:t>
      </w:r>
      <w:r w:rsidR="005911D4" w:rsidRPr="0071085D">
        <w:rPr>
          <w:lang w:val="en-CA"/>
        </w:rPr>
        <w:t>, and</w:t>
      </w:r>
      <w:r w:rsidR="005E7FCE" w:rsidRPr="0071085D">
        <w:rPr>
          <w:lang w:val="en-CA"/>
        </w:rPr>
        <w:t xml:space="preserve"> </w:t>
      </w:r>
      <w:r w:rsidR="005911D4" w:rsidRPr="0071085D">
        <w:rPr>
          <w:lang w:val="en-CA"/>
        </w:rPr>
        <w:t xml:space="preserve">higher </w:t>
      </w:r>
      <w:r w:rsidR="00887FF7" w:rsidRPr="0071085D">
        <w:rPr>
          <w:lang w:val="en-CA"/>
        </w:rPr>
        <w:t xml:space="preserve">STI </w:t>
      </w:r>
      <w:r w:rsidR="005911D4" w:rsidRPr="0071085D">
        <w:rPr>
          <w:lang w:val="en-CA"/>
        </w:rPr>
        <w:t xml:space="preserve">rates </w:t>
      </w:r>
      <w:r w:rsidR="005E7FCE" w:rsidRPr="0071085D">
        <w:rPr>
          <w:lang w:val="en-CA"/>
        </w:rPr>
        <w:t xml:space="preserve">(Oliveira Jr &amp; Abdo, 2010). </w:t>
      </w:r>
      <w:r w:rsidR="00486BE1" w:rsidRPr="0071085D">
        <w:rPr>
          <w:lang w:val="en-CA"/>
        </w:rPr>
        <w:t>Furthermore,</w:t>
      </w:r>
      <w:r w:rsidR="005911D4" w:rsidRPr="0071085D">
        <w:rPr>
          <w:lang w:val="en-CA"/>
        </w:rPr>
        <w:t xml:space="preserve"> </w:t>
      </w:r>
      <w:r w:rsidR="00693ADC" w:rsidRPr="0071085D">
        <w:rPr>
          <w:lang w:val="en-CA"/>
        </w:rPr>
        <w:t xml:space="preserve">when </w:t>
      </w:r>
      <w:r w:rsidR="005A3BFC" w:rsidRPr="0071085D">
        <w:rPr>
          <w:lang w:val="en-CA"/>
        </w:rPr>
        <w:t xml:space="preserve">unconventional sexual behaviors </w:t>
      </w:r>
      <w:r w:rsidR="00693ADC" w:rsidRPr="0071085D">
        <w:rPr>
          <w:lang w:val="en-CA"/>
        </w:rPr>
        <w:t xml:space="preserve">are practiced without proper knowledge or training or in unsafe and unsupervised environments, they can be </w:t>
      </w:r>
      <w:r w:rsidR="005911D4" w:rsidRPr="0071085D">
        <w:rPr>
          <w:lang w:val="en-CA"/>
        </w:rPr>
        <w:t xml:space="preserve">associated with </w:t>
      </w:r>
      <w:r w:rsidR="00E5314D" w:rsidRPr="0071085D">
        <w:rPr>
          <w:lang w:val="en-CA"/>
        </w:rPr>
        <w:t>impair</w:t>
      </w:r>
      <w:r w:rsidR="005F597F" w:rsidRPr="0071085D">
        <w:rPr>
          <w:lang w:val="en-CA"/>
        </w:rPr>
        <w:t>ed</w:t>
      </w:r>
      <w:r w:rsidR="00E5314D" w:rsidRPr="0071085D">
        <w:rPr>
          <w:lang w:val="en-CA"/>
        </w:rPr>
        <w:t xml:space="preserve"> mental health (e.g., posttraumatic stress </w:t>
      </w:r>
      <w:r w:rsidR="00693ADC" w:rsidRPr="0071085D">
        <w:rPr>
          <w:lang w:val="en-CA"/>
        </w:rPr>
        <w:t>symptoms</w:t>
      </w:r>
      <w:r w:rsidR="00E5314D" w:rsidRPr="0071085D">
        <w:rPr>
          <w:lang w:val="en-CA"/>
        </w:rPr>
        <w:t xml:space="preserve">) and </w:t>
      </w:r>
      <w:r w:rsidR="005911D4" w:rsidRPr="0071085D">
        <w:rPr>
          <w:lang w:val="en-CA"/>
        </w:rPr>
        <w:t xml:space="preserve">physical </w:t>
      </w:r>
      <w:r w:rsidR="005F597F" w:rsidRPr="0071085D">
        <w:rPr>
          <w:lang w:val="en-CA"/>
        </w:rPr>
        <w:t>injury (Cappelletti et al., 2016; Oliveira Jr &amp; Abdo, 2010; Powell, 2010)</w:t>
      </w:r>
      <w:r w:rsidR="00693ADC" w:rsidRPr="0071085D">
        <w:rPr>
          <w:lang w:val="en-CA"/>
        </w:rPr>
        <w:t>.</w:t>
      </w:r>
    </w:p>
    <w:p w14:paraId="1B5FAFF3" w14:textId="218309A7" w:rsidR="00A571CA" w:rsidRPr="0071085D" w:rsidRDefault="00BE26CF" w:rsidP="00EA7C40">
      <w:pPr>
        <w:spacing w:after="0" w:line="480" w:lineRule="auto"/>
        <w:rPr>
          <w:rStyle w:val="NotedebasdepageCar"/>
          <w:rFonts w:eastAsia="Times"/>
          <w:b/>
          <w:sz w:val="24"/>
          <w:lang w:val="en-US"/>
        </w:rPr>
      </w:pPr>
      <w:r w:rsidRPr="0071085D">
        <w:rPr>
          <w:rStyle w:val="NotedebasdepageCar"/>
          <w:rFonts w:eastAsia="Times"/>
          <w:b/>
          <w:sz w:val="24"/>
          <w:lang w:val="en-US"/>
        </w:rPr>
        <w:t xml:space="preserve">Substance Use </w:t>
      </w:r>
      <w:r w:rsidR="007E0149" w:rsidRPr="0071085D">
        <w:rPr>
          <w:rStyle w:val="NotedebasdepageCar"/>
          <w:rFonts w:eastAsia="Times"/>
          <w:b/>
          <w:sz w:val="24"/>
          <w:lang w:val="en-US"/>
        </w:rPr>
        <w:t>Risk-Taking</w:t>
      </w:r>
    </w:p>
    <w:p w14:paraId="03ECFFE9" w14:textId="15F77807" w:rsidR="00297F11" w:rsidRPr="0071085D" w:rsidRDefault="00297F11" w:rsidP="00653AAF">
      <w:pPr>
        <w:widowControl w:val="0"/>
        <w:autoSpaceDE w:val="0"/>
        <w:autoSpaceDN w:val="0"/>
        <w:adjustRightInd w:val="0"/>
        <w:spacing w:after="0" w:line="480" w:lineRule="auto"/>
        <w:ind w:firstLine="708"/>
        <w:rPr>
          <w:rStyle w:val="NotedebasdepageCar"/>
          <w:rFonts w:eastAsiaTheme="minorHAnsi"/>
          <w:sz w:val="24"/>
          <w:szCs w:val="24"/>
          <w:lang w:val="en-CA" w:eastAsia="en-US"/>
        </w:rPr>
      </w:pPr>
      <w:bookmarkStart w:id="4" w:name="_Hlk485655375"/>
      <w:r w:rsidRPr="0071085D">
        <w:rPr>
          <w:lang w:val="en-CA"/>
        </w:rPr>
        <w:t xml:space="preserve">A study conducted with </w:t>
      </w:r>
      <w:r w:rsidR="00657734" w:rsidRPr="0071085D">
        <w:rPr>
          <w:lang w:val="en-CA"/>
        </w:rPr>
        <w:t xml:space="preserve">American </w:t>
      </w:r>
      <w:r w:rsidRPr="0071085D">
        <w:rPr>
          <w:lang w:val="en-CA"/>
        </w:rPr>
        <w:t>college students revealed that 34% of heavy and frequent drinkers thought their substance use was problematic, and that 16% had unsuccessfully tried to stop drinking (Presley &amp; Pimentel, 2006).</w:t>
      </w:r>
      <w:r w:rsidRPr="0071085D">
        <w:rPr>
          <w:lang w:val="en-US"/>
        </w:rPr>
        <w:t xml:space="preserve"> </w:t>
      </w:r>
      <w:r w:rsidRPr="0071085D">
        <w:rPr>
          <w:lang w:val="en-CA"/>
        </w:rPr>
        <w:t xml:space="preserve"> According to the Centers for Disease Control and Prevention (2012)</w:t>
      </w:r>
      <w:r w:rsidRPr="0071085D">
        <w:rPr>
          <w:noProof/>
          <w:lang w:val="en-CA"/>
        </w:rPr>
        <w:t xml:space="preserve">, </w:t>
      </w:r>
      <w:r w:rsidRPr="0071085D">
        <w:rPr>
          <w:b/>
          <w:noProof/>
          <w:lang w:val="en-CA"/>
        </w:rPr>
        <w:t>b</w:t>
      </w:r>
      <w:r w:rsidRPr="0071085D">
        <w:rPr>
          <w:b/>
          <w:lang w:val="en-CA"/>
        </w:rPr>
        <w:t>inge drinking</w:t>
      </w:r>
      <w:r w:rsidRPr="0071085D">
        <w:rPr>
          <w:lang w:val="en-CA"/>
        </w:rPr>
        <w:t xml:space="preserve"> is defined as consuming four or more drinks for women, and five or more drinks for men, within two hours or less. </w:t>
      </w:r>
      <w:r w:rsidR="00657734" w:rsidRPr="0071085D">
        <w:rPr>
          <w:lang w:val="en-CA"/>
        </w:rPr>
        <w:t>British and American studies show</w:t>
      </w:r>
      <w:r w:rsidR="00AD2686" w:rsidRPr="0071085D">
        <w:rPr>
          <w:lang w:val="en-CA"/>
        </w:rPr>
        <w:t>ed</w:t>
      </w:r>
      <w:r w:rsidR="00657734" w:rsidRPr="0071085D">
        <w:rPr>
          <w:lang w:val="en-CA"/>
        </w:rPr>
        <w:t xml:space="preserve"> that </w:t>
      </w:r>
      <w:r w:rsidR="009926CD" w:rsidRPr="0071085D">
        <w:rPr>
          <w:bCs/>
          <w:noProof/>
          <w:lang w:val="en-CA"/>
        </w:rPr>
        <w:t>b</w:t>
      </w:r>
      <w:r w:rsidR="009926CD" w:rsidRPr="0071085D">
        <w:rPr>
          <w:bCs/>
          <w:lang w:val="en-CA"/>
        </w:rPr>
        <w:t xml:space="preserve">inge drinking </w:t>
      </w:r>
      <w:r w:rsidRPr="0071085D">
        <w:rPr>
          <w:bCs/>
          <w:lang w:val="en-CA"/>
        </w:rPr>
        <w:t>is</w:t>
      </w:r>
      <w:r w:rsidRPr="0071085D">
        <w:rPr>
          <w:lang w:val="en-CA"/>
        </w:rPr>
        <w:t xml:space="preserve"> positively associated </w:t>
      </w:r>
      <w:r w:rsidR="00C11BC1" w:rsidRPr="0071085D">
        <w:rPr>
          <w:lang w:val="en-CA"/>
        </w:rPr>
        <w:t xml:space="preserve">with </w:t>
      </w:r>
      <w:r w:rsidR="008A367E" w:rsidRPr="0071085D">
        <w:rPr>
          <w:lang w:val="en-CA"/>
        </w:rPr>
        <w:t xml:space="preserve">impaired </w:t>
      </w:r>
      <w:r w:rsidRPr="0071085D">
        <w:rPr>
          <w:lang w:val="en-CA"/>
        </w:rPr>
        <w:t>decision-making and impulse control, which are involved in unplanned and unprotected sexual encounters (Townshend</w:t>
      </w:r>
      <w:r w:rsidR="001D09B0" w:rsidRPr="0071085D">
        <w:rPr>
          <w:lang w:val="en-CA"/>
        </w:rPr>
        <w:t xml:space="preserve"> et al.</w:t>
      </w:r>
      <w:r w:rsidRPr="0071085D">
        <w:rPr>
          <w:lang w:val="en-CA"/>
        </w:rPr>
        <w:t>, 2014; Rehm</w:t>
      </w:r>
      <w:r w:rsidR="001D09B0" w:rsidRPr="0071085D">
        <w:rPr>
          <w:lang w:val="en-CA"/>
        </w:rPr>
        <w:t xml:space="preserve"> et al.</w:t>
      </w:r>
      <w:r w:rsidRPr="0071085D">
        <w:rPr>
          <w:lang w:val="en-CA"/>
        </w:rPr>
        <w:t>, 2011</w:t>
      </w:r>
      <w:proofErr w:type="gramStart"/>
      <w:r w:rsidRPr="0071085D">
        <w:rPr>
          <w:lang w:val="en-CA"/>
        </w:rPr>
        <w:t>)</w:t>
      </w:r>
      <w:r w:rsidR="00C11BC1" w:rsidRPr="0071085D">
        <w:rPr>
          <w:lang w:val="en-CA"/>
        </w:rPr>
        <w:t>, and</w:t>
      </w:r>
      <w:proofErr w:type="gramEnd"/>
      <w:r w:rsidR="00C11BC1" w:rsidRPr="0071085D">
        <w:rPr>
          <w:lang w:val="en-CA"/>
        </w:rPr>
        <w:t xml:space="preserve"> represents</w:t>
      </w:r>
      <w:r w:rsidR="009926CD" w:rsidRPr="0071085D">
        <w:rPr>
          <w:lang w:val="en-CA"/>
        </w:rPr>
        <w:t xml:space="preserve"> a significant risk factor for alcohol dependency (Wechsler &amp; Nelson, 2008).</w:t>
      </w:r>
      <w:r w:rsidR="009926CD" w:rsidRPr="0071085D">
        <w:rPr>
          <w:lang w:val="en-US"/>
        </w:rPr>
        <w:t xml:space="preserve"> </w:t>
      </w:r>
      <w:r w:rsidRPr="0071085D">
        <w:rPr>
          <w:lang w:val="en-US"/>
        </w:rPr>
        <w:t>While</w:t>
      </w:r>
      <w:r w:rsidRPr="0071085D">
        <w:rPr>
          <w:lang w:val="en-CA"/>
        </w:rPr>
        <w:t xml:space="preserve"> alcohol remains the </w:t>
      </w:r>
      <w:r w:rsidR="00451A60" w:rsidRPr="0071085D">
        <w:rPr>
          <w:lang w:val="en-CA"/>
        </w:rPr>
        <w:t>most used</w:t>
      </w:r>
      <w:r w:rsidRPr="0071085D">
        <w:rPr>
          <w:lang w:val="en-CA"/>
        </w:rPr>
        <w:t xml:space="preserve"> psychoactive substance, studies suggest that many young Canadians use a variety of other psychoactive substances</w:t>
      </w:r>
      <w:r w:rsidR="008A367E" w:rsidRPr="0071085D">
        <w:rPr>
          <w:lang w:val="en-CA"/>
        </w:rPr>
        <w:t xml:space="preserve">: </w:t>
      </w:r>
      <w:r w:rsidRPr="0071085D">
        <w:rPr>
          <w:lang w:val="en-CA"/>
        </w:rPr>
        <w:t xml:space="preserve">31% of adults aged 20 to 24 reported having used </w:t>
      </w:r>
      <w:r w:rsidR="008A367E" w:rsidRPr="0071085D">
        <w:rPr>
          <w:lang w:val="en-US"/>
        </w:rPr>
        <w:t xml:space="preserve">cannabis, </w:t>
      </w:r>
      <w:proofErr w:type="spellStart"/>
      <w:r w:rsidR="008A367E" w:rsidRPr="0071085D">
        <w:rPr>
          <w:lang w:val="en-US"/>
        </w:rPr>
        <w:t>cocaine∕crack</w:t>
      </w:r>
      <w:proofErr w:type="spellEnd"/>
      <w:r w:rsidR="008A367E" w:rsidRPr="0071085D">
        <w:rPr>
          <w:lang w:val="en-US"/>
        </w:rPr>
        <w:t>, ecstasy, methamphetamines, hallucinogens, or heroin</w:t>
      </w:r>
      <w:r w:rsidR="008A367E" w:rsidRPr="0071085D">
        <w:rPr>
          <w:lang w:val="en-CA"/>
        </w:rPr>
        <w:t xml:space="preserve"> </w:t>
      </w:r>
      <w:r w:rsidRPr="0071085D">
        <w:rPr>
          <w:lang w:val="en-CA"/>
        </w:rPr>
        <w:t>at least on</w:t>
      </w:r>
      <w:r w:rsidR="008A367E" w:rsidRPr="0071085D">
        <w:rPr>
          <w:lang w:val="en-CA"/>
        </w:rPr>
        <w:t>c</w:t>
      </w:r>
      <w:r w:rsidRPr="0071085D">
        <w:rPr>
          <w:lang w:val="en-CA"/>
        </w:rPr>
        <w:t>e over the last year</w:t>
      </w:r>
      <w:r w:rsidRPr="0071085D">
        <w:rPr>
          <w:lang w:val="en-US"/>
        </w:rPr>
        <w:t>, and 42% have used cannabis at least once in their life</w:t>
      </w:r>
      <w:r w:rsidR="008A367E" w:rsidRPr="0071085D">
        <w:rPr>
          <w:lang w:val="en-US"/>
        </w:rPr>
        <w:t xml:space="preserve"> </w:t>
      </w:r>
      <w:r w:rsidR="008A367E" w:rsidRPr="0071085D">
        <w:rPr>
          <w:lang w:val="en-US"/>
        </w:rPr>
        <w:lastRenderedPageBreak/>
        <w:t>(Canadian Tobacco Alcohol and Drugs Survey, 2015)</w:t>
      </w:r>
      <w:r w:rsidRPr="0071085D">
        <w:rPr>
          <w:lang w:val="en-US"/>
        </w:rPr>
        <w:t>.</w:t>
      </w:r>
      <w:r w:rsidRPr="0071085D">
        <w:rPr>
          <w:rStyle w:val="NotedebasdepageCar"/>
          <w:rFonts w:eastAsia="Times"/>
          <w:sz w:val="24"/>
          <w:szCs w:val="24"/>
          <w:lang w:val="en-CA"/>
        </w:rPr>
        <w:t xml:space="preserve"> </w:t>
      </w:r>
      <w:r w:rsidRPr="0071085D">
        <w:rPr>
          <w:rStyle w:val="NotedebasdepageCar"/>
          <w:rFonts w:eastAsia="Times"/>
          <w:b/>
          <w:sz w:val="24"/>
          <w:szCs w:val="24"/>
          <w:lang w:val="en-CA"/>
        </w:rPr>
        <w:t>Polysubstance use</w:t>
      </w:r>
      <w:r w:rsidRPr="0071085D">
        <w:rPr>
          <w:rStyle w:val="NotedebasdepageCar"/>
          <w:rFonts w:eastAsia="Times"/>
          <w:sz w:val="24"/>
          <w:szCs w:val="24"/>
          <w:lang w:val="en-CA"/>
        </w:rPr>
        <w:t xml:space="preserve"> is </w:t>
      </w:r>
      <w:r w:rsidRPr="0071085D">
        <w:rPr>
          <w:rFonts w:eastAsia="Times New Roman"/>
          <w:lang w:val="en-CA" w:eastAsia="fr-CA"/>
        </w:rPr>
        <w:t>mo</w:t>
      </w:r>
      <w:r w:rsidR="006C413D" w:rsidRPr="0071085D">
        <w:rPr>
          <w:rFonts w:eastAsia="Times New Roman"/>
          <w:lang w:val="en-CA" w:eastAsia="fr-CA"/>
        </w:rPr>
        <w:t>st</w:t>
      </w:r>
      <w:r w:rsidRPr="0071085D">
        <w:rPr>
          <w:rFonts w:eastAsia="Times New Roman"/>
          <w:lang w:val="en-CA" w:eastAsia="fr-CA"/>
        </w:rPr>
        <w:t xml:space="preserve"> frequent among emerging adults</w:t>
      </w:r>
      <w:r w:rsidR="008A367E" w:rsidRPr="0071085D">
        <w:rPr>
          <w:rFonts w:eastAsia="Times New Roman"/>
          <w:lang w:val="en-CA" w:eastAsia="fr-CA"/>
        </w:rPr>
        <w:t>, and those</w:t>
      </w:r>
      <w:r w:rsidR="00710EC5" w:rsidRPr="0071085D">
        <w:rPr>
          <w:lang w:val="en-US"/>
        </w:rPr>
        <w:t xml:space="preserve"> aged 20</w:t>
      </w:r>
      <w:r w:rsidR="008A367E" w:rsidRPr="0071085D">
        <w:rPr>
          <w:lang w:val="en-US"/>
        </w:rPr>
        <w:t>–</w:t>
      </w:r>
      <w:r w:rsidR="00710EC5" w:rsidRPr="0071085D">
        <w:rPr>
          <w:lang w:val="en-US"/>
        </w:rPr>
        <w:t xml:space="preserve">24 have riskier patterns of </w:t>
      </w:r>
      <w:r w:rsidR="001D09B0" w:rsidRPr="0071085D">
        <w:rPr>
          <w:lang w:val="en-US"/>
        </w:rPr>
        <w:t xml:space="preserve">substance </w:t>
      </w:r>
      <w:r w:rsidR="00710EC5" w:rsidRPr="0071085D">
        <w:rPr>
          <w:lang w:val="en-US"/>
        </w:rPr>
        <w:t>use and more substance use disorders than adolescents and older adults (</w:t>
      </w:r>
      <w:r w:rsidR="00710EC5" w:rsidRPr="0071085D">
        <w:rPr>
          <w:lang w:val="en-CA"/>
        </w:rPr>
        <w:t>Statistics Canada</w:t>
      </w:r>
      <w:r w:rsidR="00710EC5" w:rsidRPr="0071085D">
        <w:rPr>
          <w:lang w:val="en-US"/>
        </w:rPr>
        <w:t>, 2015)</w:t>
      </w:r>
      <w:r w:rsidR="00710EC5" w:rsidRPr="0071085D">
        <w:rPr>
          <w:lang w:val="en-CA"/>
        </w:rPr>
        <w:t xml:space="preserve">. </w:t>
      </w:r>
      <w:bookmarkStart w:id="5" w:name="_Hlk525567807"/>
    </w:p>
    <w:bookmarkEnd w:id="4"/>
    <w:bookmarkEnd w:id="5"/>
    <w:p w14:paraId="2C7EB486" w14:textId="77777777" w:rsidR="00022E9C" w:rsidRPr="0071085D" w:rsidRDefault="00352AD8" w:rsidP="00A571CA">
      <w:pPr>
        <w:widowControl w:val="0"/>
        <w:autoSpaceDE w:val="0"/>
        <w:autoSpaceDN w:val="0"/>
        <w:adjustRightInd w:val="0"/>
        <w:spacing w:after="0" w:line="480" w:lineRule="auto"/>
        <w:rPr>
          <w:b/>
          <w:lang w:val="en-CA"/>
        </w:rPr>
      </w:pPr>
      <w:r w:rsidRPr="0071085D">
        <w:rPr>
          <w:b/>
          <w:lang w:val="en-CA"/>
        </w:rPr>
        <w:t xml:space="preserve">Person-Centered Analytical </w:t>
      </w:r>
      <w:r w:rsidR="007035AD" w:rsidRPr="0071085D">
        <w:rPr>
          <w:b/>
          <w:lang w:val="en-CA"/>
        </w:rPr>
        <w:t>Approaches</w:t>
      </w:r>
    </w:p>
    <w:p w14:paraId="315D66DB" w14:textId="551456F0" w:rsidR="00D3796E" w:rsidRPr="0071085D" w:rsidRDefault="00352AD8" w:rsidP="00710EC5">
      <w:pPr>
        <w:widowControl w:val="0"/>
        <w:autoSpaceDE w:val="0"/>
        <w:autoSpaceDN w:val="0"/>
        <w:adjustRightInd w:val="0"/>
        <w:spacing w:after="0" w:line="480" w:lineRule="auto"/>
        <w:ind w:firstLine="708"/>
        <w:rPr>
          <w:lang w:val="en-CA"/>
        </w:rPr>
      </w:pPr>
      <w:r w:rsidRPr="0071085D">
        <w:rPr>
          <w:lang w:val="en-CA"/>
        </w:rPr>
        <w:t xml:space="preserve">While traditional variable-centered approaches provide </w:t>
      </w:r>
      <w:r w:rsidR="006D63DC" w:rsidRPr="0071085D">
        <w:rPr>
          <w:lang w:val="en-CA"/>
        </w:rPr>
        <w:t>use</w:t>
      </w:r>
      <w:r w:rsidRPr="0071085D">
        <w:rPr>
          <w:lang w:val="en-CA"/>
        </w:rPr>
        <w:t xml:space="preserve">ful tools for describing the relationships </w:t>
      </w:r>
      <w:r w:rsidR="008E4EB1" w:rsidRPr="0071085D">
        <w:rPr>
          <w:lang w:val="en-CA"/>
        </w:rPr>
        <w:t xml:space="preserve">between </w:t>
      </w:r>
      <w:r w:rsidRPr="0071085D">
        <w:rPr>
          <w:lang w:val="en-CA"/>
        </w:rPr>
        <w:t>variables, person-centered</w:t>
      </w:r>
      <w:r w:rsidR="00FE47F5" w:rsidRPr="0071085D">
        <w:rPr>
          <w:lang w:val="en-CA"/>
        </w:rPr>
        <w:t xml:space="preserve"> </w:t>
      </w:r>
      <w:r w:rsidRPr="0071085D">
        <w:rPr>
          <w:lang w:val="en-CA"/>
        </w:rPr>
        <w:t xml:space="preserve">approaches are </w:t>
      </w:r>
      <w:r w:rsidR="00570EE8" w:rsidRPr="0071085D">
        <w:rPr>
          <w:lang w:val="en-CA"/>
        </w:rPr>
        <w:t xml:space="preserve">particularly </w:t>
      </w:r>
      <w:r w:rsidR="00EA7C40" w:rsidRPr="0071085D">
        <w:rPr>
          <w:lang w:val="en-CA"/>
        </w:rPr>
        <w:t>designed to</w:t>
      </w:r>
      <w:r w:rsidRPr="0071085D">
        <w:rPr>
          <w:lang w:val="en-CA"/>
        </w:rPr>
        <w:t xml:space="preserve"> identify </w:t>
      </w:r>
      <w:r w:rsidR="0066172F" w:rsidRPr="0071085D">
        <w:rPr>
          <w:lang w:val="en-CA"/>
        </w:rPr>
        <w:t>subgroup</w:t>
      </w:r>
      <w:r w:rsidRPr="0071085D">
        <w:rPr>
          <w:lang w:val="en-CA"/>
        </w:rPr>
        <w:t>s of individuals sharing si</w:t>
      </w:r>
      <w:r w:rsidR="0066172F" w:rsidRPr="0071085D">
        <w:rPr>
          <w:lang w:val="en-CA"/>
        </w:rPr>
        <w:t>milar patterns of behavior</w:t>
      </w:r>
      <w:r w:rsidRPr="0071085D">
        <w:rPr>
          <w:lang w:val="en-CA"/>
        </w:rPr>
        <w:t>. The</w:t>
      </w:r>
      <w:r w:rsidR="004B340C" w:rsidRPr="0071085D">
        <w:rPr>
          <w:lang w:val="en-CA"/>
        </w:rPr>
        <w:t>re are numerous</w:t>
      </w:r>
      <w:r w:rsidRPr="0071085D">
        <w:rPr>
          <w:lang w:val="en-CA"/>
        </w:rPr>
        <w:t xml:space="preserve"> advantages of person-centered analyses</w:t>
      </w:r>
      <w:r w:rsidR="004B340C" w:rsidRPr="0071085D">
        <w:rPr>
          <w:lang w:val="en-CA"/>
        </w:rPr>
        <w:t>:</w:t>
      </w:r>
      <w:r w:rsidRPr="0071085D">
        <w:rPr>
          <w:lang w:val="en-CA"/>
        </w:rPr>
        <w:t xml:space="preserve"> </w:t>
      </w:r>
      <w:r w:rsidR="006A3A0A" w:rsidRPr="0071085D">
        <w:rPr>
          <w:lang w:val="en-CA"/>
        </w:rPr>
        <w:t>They</w:t>
      </w:r>
      <w:r w:rsidRPr="0071085D">
        <w:rPr>
          <w:lang w:val="en-CA"/>
        </w:rPr>
        <w:t xml:space="preserve"> (1)</w:t>
      </w:r>
      <w:r w:rsidR="00FE47F5" w:rsidRPr="0071085D">
        <w:rPr>
          <w:lang w:val="en-CA"/>
        </w:rPr>
        <w:t xml:space="preserve"> assess the diverse nature of populations by</w:t>
      </w:r>
      <w:r w:rsidRPr="0071085D">
        <w:rPr>
          <w:lang w:val="en-CA"/>
        </w:rPr>
        <w:t xml:space="preserve"> clustering homogeneous groups of people based on</w:t>
      </w:r>
      <w:r w:rsidR="002D346D" w:rsidRPr="0071085D">
        <w:rPr>
          <w:lang w:val="en-CA"/>
        </w:rPr>
        <w:t xml:space="preserve"> a constellation of</w:t>
      </w:r>
      <w:r w:rsidRPr="0071085D">
        <w:rPr>
          <w:lang w:val="en-CA"/>
        </w:rPr>
        <w:t xml:space="preserve"> shared characteristics</w:t>
      </w:r>
      <w:r w:rsidR="009115FE" w:rsidRPr="0071085D">
        <w:rPr>
          <w:lang w:val="en-CA"/>
        </w:rPr>
        <w:t xml:space="preserve"> while</w:t>
      </w:r>
      <w:r w:rsidRPr="0071085D">
        <w:rPr>
          <w:lang w:val="en-CA"/>
        </w:rPr>
        <w:t xml:space="preserve"> </w:t>
      </w:r>
      <w:r w:rsidR="008E4EB1" w:rsidRPr="0071085D">
        <w:rPr>
          <w:lang w:val="en-CA"/>
        </w:rPr>
        <w:t xml:space="preserve">also </w:t>
      </w:r>
      <w:r w:rsidRPr="0071085D">
        <w:rPr>
          <w:lang w:val="en-CA"/>
        </w:rPr>
        <w:t xml:space="preserve">capturing </w:t>
      </w:r>
      <w:r w:rsidR="008E4EB1" w:rsidRPr="0071085D">
        <w:rPr>
          <w:lang w:val="en-CA"/>
        </w:rPr>
        <w:t xml:space="preserve">between-group </w:t>
      </w:r>
      <w:r w:rsidR="00466718" w:rsidRPr="0071085D">
        <w:rPr>
          <w:lang w:val="en-CA"/>
        </w:rPr>
        <w:t>heterogeneity</w:t>
      </w:r>
      <w:r w:rsidRPr="0071085D">
        <w:rPr>
          <w:lang w:val="en-CA"/>
        </w:rPr>
        <w:t xml:space="preserve">; </w:t>
      </w:r>
      <w:r w:rsidR="009115FE" w:rsidRPr="0071085D">
        <w:rPr>
          <w:lang w:val="en-CA"/>
        </w:rPr>
        <w:t xml:space="preserve">(2) </w:t>
      </w:r>
      <w:r w:rsidR="006F6C58" w:rsidRPr="0071085D">
        <w:rPr>
          <w:lang w:val="en-CA"/>
        </w:rPr>
        <w:t xml:space="preserve">identify profiles emerging from the data </w:t>
      </w:r>
      <w:r w:rsidR="004B340C" w:rsidRPr="0071085D">
        <w:rPr>
          <w:lang w:val="en-CA"/>
        </w:rPr>
        <w:t>while eliminating</w:t>
      </w:r>
      <w:r w:rsidR="008E4EB1" w:rsidRPr="0071085D">
        <w:rPr>
          <w:lang w:val="en-CA"/>
        </w:rPr>
        <w:t xml:space="preserve"> </w:t>
      </w:r>
      <w:r w:rsidR="004B340C" w:rsidRPr="0071085D">
        <w:rPr>
          <w:lang w:val="en-CA"/>
        </w:rPr>
        <w:t xml:space="preserve">the effects of researcher </w:t>
      </w:r>
      <w:r w:rsidR="008E4EB1" w:rsidRPr="0071085D">
        <w:rPr>
          <w:lang w:val="en-CA"/>
        </w:rPr>
        <w:t>preconceptions</w:t>
      </w:r>
      <w:r w:rsidR="004B340C" w:rsidRPr="0071085D">
        <w:rPr>
          <w:lang w:val="en-CA"/>
        </w:rPr>
        <w:t>,</w:t>
      </w:r>
      <w:r w:rsidR="006F6C58" w:rsidRPr="0071085D">
        <w:rPr>
          <w:lang w:val="en-CA"/>
        </w:rPr>
        <w:t xml:space="preserve"> </w:t>
      </w:r>
      <w:r w:rsidR="004B340C" w:rsidRPr="0071085D">
        <w:rPr>
          <w:lang w:val="en-CA"/>
        </w:rPr>
        <w:t xml:space="preserve">which could </w:t>
      </w:r>
      <w:r w:rsidR="006F6C58" w:rsidRPr="0071085D">
        <w:rPr>
          <w:lang w:val="en-CA"/>
        </w:rPr>
        <w:t>obscur</w:t>
      </w:r>
      <w:r w:rsidR="004B340C" w:rsidRPr="0071085D">
        <w:rPr>
          <w:lang w:val="en-CA"/>
        </w:rPr>
        <w:t>e</w:t>
      </w:r>
      <w:r w:rsidR="006F6C58" w:rsidRPr="0071085D">
        <w:rPr>
          <w:lang w:val="en-CA"/>
        </w:rPr>
        <w:t xml:space="preserve"> or </w:t>
      </w:r>
      <w:r w:rsidR="008E4EB1" w:rsidRPr="0071085D">
        <w:rPr>
          <w:lang w:val="en-CA"/>
        </w:rPr>
        <w:t>undermin</w:t>
      </w:r>
      <w:r w:rsidR="004B340C" w:rsidRPr="0071085D">
        <w:rPr>
          <w:lang w:val="en-CA"/>
        </w:rPr>
        <w:t>e</w:t>
      </w:r>
      <w:r w:rsidR="006F6C58" w:rsidRPr="0071085D">
        <w:rPr>
          <w:lang w:val="en-CA"/>
        </w:rPr>
        <w:t xml:space="preserve"> important differences </w:t>
      </w:r>
      <w:r w:rsidR="008E4EB1" w:rsidRPr="0071085D">
        <w:rPr>
          <w:lang w:val="en-CA"/>
        </w:rPr>
        <w:t xml:space="preserve">between </w:t>
      </w:r>
      <w:r w:rsidR="006F6C58" w:rsidRPr="0071085D">
        <w:rPr>
          <w:lang w:val="en-CA"/>
        </w:rPr>
        <w:t xml:space="preserve">profiles; (3) </w:t>
      </w:r>
      <w:r w:rsidR="00FE47F5" w:rsidRPr="0071085D">
        <w:rPr>
          <w:lang w:val="en-CA"/>
        </w:rPr>
        <w:t>compar</w:t>
      </w:r>
      <w:r w:rsidR="004B340C" w:rsidRPr="0071085D">
        <w:rPr>
          <w:lang w:val="en-CA"/>
        </w:rPr>
        <w:t>e</w:t>
      </w:r>
      <w:r w:rsidR="00FE47F5" w:rsidRPr="0071085D">
        <w:rPr>
          <w:lang w:val="en-CA"/>
        </w:rPr>
        <w:t xml:space="preserve"> </w:t>
      </w:r>
      <w:r w:rsidR="00FC09A0" w:rsidRPr="0071085D">
        <w:rPr>
          <w:lang w:val="en-CA"/>
        </w:rPr>
        <w:t>competi</w:t>
      </w:r>
      <w:r w:rsidR="00FE47F5" w:rsidRPr="0071085D">
        <w:rPr>
          <w:lang w:val="en-CA"/>
        </w:rPr>
        <w:t>tive models</w:t>
      </w:r>
      <w:r w:rsidRPr="0071085D">
        <w:rPr>
          <w:lang w:val="en-CA"/>
        </w:rPr>
        <w:t xml:space="preserve"> </w:t>
      </w:r>
      <w:r w:rsidR="00570EE8" w:rsidRPr="0071085D">
        <w:rPr>
          <w:lang w:val="en-CA"/>
        </w:rPr>
        <w:t>with rigorous statistical criteria</w:t>
      </w:r>
      <w:r w:rsidR="006A3A0A" w:rsidRPr="0071085D">
        <w:rPr>
          <w:lang w:val="en-CA"/>
        </w:rPr>
        <w:t>, which</w:t>
      </w:r>
      <w:r w:rsidR="00570EE8" w:rsidRPr="0071085D">
        <w:rPr>
          <w:lang w:val="en-CA"/>
        </w:rPr>
        <w:t xml:space="preserve"> </w:t>
      </w:r>
      <w:r w:rsidR="004B340C" w:rsidRPr="0071085D">
        <w:rPr>
          <w:lang w:val="en-CA"/>
        </w:rPr>
        <w:t>allows for</w:t>
      </w:r>
      <w:r w:rsidR="00570EE8" w:rsidRPr="0071085D">
        <w:rPr>
          <w:lang w:val="en-CA"/>
        </w:rPr>
        <w:t xml:space="preserve"> </w:t>
      </w:r>
      <w:r w:rsidR="0066172F" w:rsidRPr="0071085D">
        <w:rPr>
          <w:lang w:val="en-CA"/>
        </w:rPr>
        <w:t xml:space="preserve">the </w:t>
      </w:r>
      <w:r w:rsidR="00570EE8" w:rsidRPr="0071085D">
        <w:rPr>
          <w:lang w:val="en-CA"/>
        </w:rPr>
        <w:t xml:space="preserve">selection of </w:t>
      </w:r>
      <w:r w:rsidR="004B340C" w:rsidRPr="0071085D">
        <w:rPr>
          <w:lang w:val="en-CA"/>
        </w:rPr>
        <w:t xml:space="preserve">an </w:t>
      </w:r>
      <w:r w:rsidR="00570EE8" w:rsidRPr="0071085D">
        <w:rPr>
          <w:lang w:val="en-CA"/>
        </w:rPr>
        <w:t xml:space="preserve">optimal model </w:t>
      </w:r>
      <w:r w:rsidR="004B340C" w:rsidRPr="0071085D">
        <w:rPr>
          <w:lang w:val="en-CA"/>
        </w:rPr>
        <w:t>that is</w:t>
      </w:r>
      <w:r w:rsidR="0066172F" w:rsidRPr="0071085D">
        <w:rPr>
          <w:lang w:val="en-CA"/>
        </w:rPr>
        <w:t xml:space="preserve"> both objective and in line with the underlying theory</w:t>
      </w:r>
      <w:r w:rsidR="00570EE8" w:rsidRPr="0071085D">
        <w:rPr>
          <w:lang w:val="en-CA"/>
        </w:rPr>
        <w:t xml:space="preserve">; </w:t>
      </w:r>
      <w:r w:rsidR="00621946" w:rsidRPr="0071085D">
        <w:rPr>
          <w:lang w:val="en-CA"/>
        </w:rPr>
        <w:t xml:space="preserve">and </w:t>
      </w:r>
      <w:r w:rsidR="006F6C58" w:rsidRPr="0071085D">
        <w:rPr>
          <w:lang w:val="en-CA"/>
        </w:rPr>
        <w:t xml:space="preserve">(4) </w:t>
      </w:r>
      <w:r w:rsidR="00570EE8" w:rsidRPr="0071085D">
        <w:rPr>
          <w:lang w:val="en-CA"/>
        </w:rPr>
        <w:t>provid</w:t>
      </w:r>
      <w:r w:rsidR="004B340C" w:rsidRPr="0071085D">
        <w:rPr>
          <w:lang w:val="en-CA"/>
        </w:rPr>
        <w:t>e</w:t>
      </w:r>
      <w:r w:rsidR="00570EE8" w:rsidRPr="0071085D">
        <w:rPr>
          <w:lang w:val="en-CA"/>
        </w:rPr>
        <w:t xml:space="preserve"> </w:t>
      </w:r>
      <w:r w:rsidR="002D346D" w:rsidRPr="0071085D">
        <w:rPr>
          <w:lang w:val="en-CA"/>
        </w:rPr>
        <w:t>great</w:t>
      </w:r>
      <w:r w:rsidR="00570EE8" w:rsidRPr="0071085D">
        <w:rPr>
          <w:lang w:val="en-CA"/>
        </w:rPr>
        <w:t xml:space="preserve"> flexibility in </w:t>
      </w:r>
      <w:r w:rsidR="008475FF" w:rsidRPr="0071085D">
        <w:rPr>
          <w:lang w:val="en-CA"/>
        </w:rPr>
        <w:t xml:space="preserve">relation to </w:t>
      </w:r>
      <w:r w:rsidR="00570EE8" w:rsidRPr="0071085D">
        <w:rPr>
          <w:lang w:val="en-CA"/>
        </w:rPr>
        <w:t>the indicators entered in the models</w:t>
      </w:r>
      <w:r w:rsidR="004B340C" w:rsidRPr="0071085D">
        <w:rPr>
          <w:lang w:val="en-CA"/>
        </w:rPr>
        <w:t xml:space="preserve">, but </w:t>
      </w:r>
      <w:r w:rsidR="00570EE8" w:rsidRPr="0071085D">
        <w:rPr>
          <w:lang w:val="en-CA"/>
        </w:rPr>
        <w:t xml:space="preserve">without the </w:t>
      </w:r>
      <w:r w:rsidR="004B340C" w:rsidRPr="0071085D">
        <w:rPr>
          <w:lang w:val="en-CA"/>
        </w:rPr>
        <w:t xml:space="preserve">traditional clustering methods’ </w:t>
      </w:r>
      <w:r w:rsidR="00570EE8" w:rsidRPr="0071085D">
        <w:rPr>
          <w:lang w:val="en-CA"/>
        </w:rPr>
        <w:t xml:space="preserve">bias </w:t>
      </w:r>
      <w:r w:rsidR="004B340C" w:rsidRPr="0071085D">
        <w:rPr>
          <w:lang w:val="en-CA"/>
        </w:rPr>
        <w:t>of</w:t>
      </w:r>
      <w:r w:rsidR="00570EE8" w:rsidRPr="0071085D">
        <w:rPr>
          <w:lang w:val="en-CA"/>
        </w:rPr>
        <w:t xml:space="preserve"> creating clusters of equal size </w:t>
      </w:r>
      <w:r w:rsidR="008C34DC" w:rsidRPr="0071085D">
        <w:rPr>
          <w:lang w:val="en-CA"/>
        </w:rPr>
        <w:t>(</w:t>
      </w:r>
      <w:r w:rsidR="00F825B2" w:rsidRPr="0071085D">
        <w:rPr>
          <w:lang w:val="en-CA"/>
        </w:rPr>
        <w:t>Beadnell et al., 2005</w:t>
      </w:r>
      <w:r w:rsidR="008C34DC" w:rsidRPr="0071085D">
        <w:rPr>
          <w:lang w:val="en-CA"/>
        </w:rPr>
        <w:t>)</w:t>
      </w:r>
      <w:r w:rsidR="002D346D" w:rsidRPr="0071085D">
        <w:rPr>
          <w:lang w:val="en-CA"/>
        </w:rPr>
        <w:t>.</w:t>
      </w:r>
      <w:r w:rsidR="00710EC5" w:rsidRPr="0071085D">
        <w:rPr>
          <w:lang w:val="en-CA"/>
        </w:rPr>
        <w:t xml:space="preserve"> </w:t>
      </w:r>
      <w:r w:rsidR="008A367E" w:rsidRPr="0071085D">
        <w:rPr>
          <w:lang w:val="en-CA"/>
        </w:rPr>
        <w:t>L</w:t>
      </w:r>
      <w:r w:rsidR="00B46055" w:rsidRPr="0071085D">
        <w:rPr>
          <w:lang w:val="en-CA"/>
        </w:rPr>
        <w:t xml:space="preserve">atent class </w:t>
      </w:r>
      <w:r w:rsidR="008A367E" w:rsidRPr="0071085D">
        <w:rPr>
          <w:lang w:val="en-CA"/>
        </w:rPr>
        <w:t xml:space="preserve">analyses </w:t>
      </w:r>
      <w:r w:rsidR="00B46055" w:rsidRPr="0071085D">
        <w:rPr>
          <w:lang w:val="en-CA"/>
        </w:rPr>
        <w:t xml:space="preserve">and latent profile analyses are increasingly popular </w:t>
      </w:r>
      <w:r w:rsidR="00D3796E" w:rsidRPr="0071085D">
        <w:rPr>
          <w:lang w:val="en-CA"/>
        </w:rPr>
        <w:t>for</w:t>
      </w:r>
      <w:r w:rsidR="00B46055" w:rsidRPr="0071085D">
        <w:rPr>
          <w:lang w:val="en-CA"/>
        </w:rPr>
        <w:t xml:space="preserve"> identify</w:t>
      </w:r>
      <w:r w:rsidR="00D3796E" w:rsidRPr="0071085D">
        <w:rPr>
          <w:lang w:val="en-CA"/>
        </w:rPr>
        <w:t>ing</w:t>
      </w:r>
      <w:r w:rsidR="00B46055" w:rsidRPr="0071085D">
        <w:rPr>
          <w:lang w:val="en-CA"/>
        </w:rPr>
        <w:t xml:space="preserve"> risk-taking profiles</w:t>
      </w:r>
      <w:r w:rsidR="00D3796E" w:rsidRPr="0071085D">
        <w:rPr>
          <w:lang w:val="en-CA"/>
        </w:rPr>
        <w:t xml:space="preserve">. </w:t>
      </w:r>
    </w:p>
    <w:p w14:paraId="4704560F" w14:textId="223E3D4F" w:rsidR="00417A85" w:rsidRPr="0071085D" w:rsidRDefault="009115FE" w:rsidP="00710EC5">
      <w:pPr>
        <w:widowControl w:val="0"/>
        <w:autoSpaceDE w:val="0"/>
        <w:autoSpaceDN w:val="0"/>
        <w:adjustRightInd w:val="0"/>
        <w:spacing w:after="0" w:line="480" w:lineRule="auto"/>
        <w:ind w:firstLine="708"/>
        <w:rPr>
          <w:lang w:val="en-CA"/>
        </w:rPr>
      </w:pPr>
      <w:r w:rsidRPr="0071085D">
        <w:rPr>
          <w:lang w:val="en-CA"/>
        </w:rPr>
        <w:t xml:space="preserve">For example, </w:t>
      </w:r>
      <w:r w:rsidR="0002135D" w:rsidRPr="0071085D">
        <w:rPr>
          <w:lang w:val="en-CA"/>
        </w:rPr>
        <w:t>i</w:t>
      </w:r>
      <w:r w:rsidR="00CA1DCE" w:rsidRPr="0071085D">
        <w:rPr>
          <w:lang w:val="en-CA"/>
        </w:rPr>
        <w:t xml:space="preserve">n a study conducted among 228 </w:t>
      </w:r>
      <w:proofErr w:type="gramStart"/>
      <w:r w:rsidR="00CA1DCE" w:rsidRPr="0071085D">
        <w:rPr>
          <w:lang w:val="en-CA"/>
        </w:rPr>
        <w:t>African</w:t>
      </w:r>
      <w:r w:rsidR="008475FF" w:rsidRPr="0071085D">
        <w:rPr>
          <w:lang w:val="en-CA"/>
        </w:rPr>
        <w:t>-</w:t>
      </w:r>
      <w:r w:rsidR="00CA1DCE" w:rsidRPr="0071085D">
        <w:rPr>
          <w:lang w:val="en-CA"/>
        </w:rPr>
        <w:t>American</w:t>
      </w:r>
      <w:proofErr w:type="gramEnd"/>
      <w:r w:rsidR="00CA1DCE" w:rsidRPr="0071085D">
        <w:rPr>
          <w:lang w:val="en-CA"/>
        </w:rPr>
        <w:t xml:space="preserve"> college students, Metzger and colleagues (</w:t>
      </w:r>
      <w:proofErr w:type="gramStart"/>
      <w:r w:rsidR="00CA1DCE" w:rsidRPr="0071085D">
        <w:rPr>
          <w:lang w:val="en-CA"/>
        </w:rPr>
        <w:t>2017)examined</w:t>
      </w:r>
      <w:proofErr w:type="gramEnd"/>
      <w:r w:rsidR="00CA1DCE" w:rsidRPr="0071085D">
        <w:rPr>
          <w:lang w:val="en-CA"/>
        </w:rPr>
        <w:t xml:space="preserve"> </w:t>
      </w:r>
      <w:r w:rsidR="008475FF" w:rsidRPr="0071085D">
        <w:rPr>
          <w:lang w:val="en-CA"/>
        </w:rPr>
        <w:t>the</w:t>
      </w:r>
      <w:r w:rsidR="00CA1DCE" w:rsidRPr="0071085D">
        <w:rPr>
          <w:lang w:val="en-CA"/>
        </w:rPr>
        <w:t xml:space="preserve"> frequency of alcohol use and of </w:t>
      </w:r>
      <w:r w:rsidR="00FC09A0" w:rsidRPr="0071085D">
        <w:rPr>
          <w:lang w:val="en-CA"/>
        </w:rPr>
        <w:t>binge drinking</w:t>
      </w:r>
      <w:r w:rsidR="00CA1DCE" w:rsidRPr="0071085D">
        <w:rPr>
          <w:lang w:val="en-CA"/>
        </w:rPr>
        <w:t xml:space="preserve"> episodes, lifetime number of </w:t>
      </w:r>
      <w:r w:rsidR="008475FF" w:rsidRPr="0071085D">
        <w:rPr>
          <w:lang w:val="en-CA"/>
        </w:rPr>
        <w:t xml:space="preserve">sexual </w:t>
      </w:r>
      <w:r w:rsidR="00CA1DCE" w:rsidRPr="0071085D">
        <w:rPr>
          <w:lang w:val="en-CA"/>
        </w:rPr>
        <w:t>partners</w:t>
      </w:r>
      <w:r w:rsidR="008475FF" w:rsidRPr="0071085D">
        <w:rPr>
          <w:lang w:val="en-CA"/>
        </w:rPr>
        <w:t>,</w:t>
      </w:r>
      <w:r w:rsidR="00CA1DCE" w:rsidRPr="0071085D">
        <w:rPr>
          <w:lang w:val="en-CA"/>
        </w:rPr>
        <w:t xml:space="preserve"> and frequency of alcohol </w:t>
      </w:r>
      <w:r w:rsidR="008475FF" w:rsidRPr="0071085D">
        <w:rPr>
          <w:lang w:val="en-CA"/>
        </w:rPr>
        <w:t xml:space="preserve">consumption </w:t>
      </w:r>
      <w:r w:rsidR="00CA1DCE" w:rsidRPr="0071085D">
        <w:rPr>
          <w:lang w:val="en-CA"/>
        </w:rPr>
        <w:t>before intercourse.</w:t>
      </w:r>
      <w:r w:rsidR="00710EC5" w:rsidRPr="0071085D">
        <w:rPr>
          <w:lang w:val="en-CA"/>
        </w:rPr>
        <w:t xml:space="preserve"> F</w:t>
      </w:r>
      <w:r w:rsidR="00CA1DCE" w:rsidRPr="0071085D">
        <w:rPr>
          <w:lang w:val="en-CA"/>
        </w:rPr>
        <w:t xml:space="preserve">ive profiles </w:t>
      </w:r>
      <w:r w:rsidR="00710EC5" w:rsidRPr="0071085D">
        <w:rPr>
          <w:lang w:val="en-CA"/>
        </w:rPr>
        <w:t xml:space="preserve">with distinctive features </w:t>
      </w:r>
      <w:r w:rsidR="00CA1DCE" w:rsidRPr="0071085D">
        <w:rPr>
          <w:lang w:val="en-CA"/>
        </w:rPr>
        <w:t>were identified: abstainers, low risk, sex-only risk, alco</w:t>
      </w:r>
      <w:r w:rsidR="00664F60" w:rsidRPr="0071085D">
        <w:rPr>
          <w:lang w:val="en-CA"/>
        </w:rPr>
        <w:t>hol-only risk, and both alcohol</w:t>
      </w:r>
      <w:r w:rsidR="00CA1DCE" w:rsidRPr="0071085D">
        <w:rPr>
          <w:lang w:val="en-CA"/>
        </w:rPr>
        <w:t xml:space="preserve"> and sex risks. </w:t>
      </w:r>
      <w:r w:rsidR="00710EC5" w:rsidRPr="0071085D">
        <w:rPr>
          <w:lang w:val="en-CA"/>
        </w:rPr>
        <w:t>In a</w:t>
      </w:r>
      <w:r w:rsidR="008475FF" w:rsidRPr="0071085D">
        <w:rPr>
          <w:lang w:val="en-CA"/>
        </w:rPr>
        <w:t>nother study</w:t>
      </w:r>
      <w:r w:rsidR="00710EC5" w:rsidRPr="0071085D">
        <w:rPr>
          <w:lang w:val="en-CA"/>
        </w:rPr>
        <w:t xml:space="preserve"> conducted among U.S. adolescents from grades 9 to 12</w:t>
      </w:r>
      <w:r w:rsidR="008475FF" w:rsidRPr="0071085D">
        <w:rPr>
          <w:lang w:val="en-CA"/>
        </w:rPr>
        <w:t>,</w:t>
      </w:r>
      <w:r w:rsidR="00CA1DCE" w:rsidRPr="0071085D">
        <w:rPr>
          <w:lang w:val="en-CA"/>
        </w:rPr>
        <w:t xml:space="preserve"> </w:t>
      </w:r>
      <w:r w:rsidR="002C18C1" w:rsidRPr="0071085D">
        <w:rPr>
          <w:lang w:val="en-CA"/>
        </w:rPr>
        <w:t xml:space="preserve">Sullivan </w:t>
      </w:r>
      <w:r w:rsidR="006C413D" w:rsidRPr="0071085D">
        <w:rPr>
          <w:lang w:val="en-CA"/>
        </w:rPr>
        <w:t xml:space="preserve">et al., </w:t>
      </w:r>
      <w:r w:rsidR="002C18C1" w:rsidRPr="0071085D">
        <w:rPr>
          <w:lang w:val="en-CA"/>
        </w:rPr>
        <w:t xml:space="preserve">2010) found four </w:t>
      </w:r>
      <w:r w:rsidR="00710EC5" w:rsidRPr="0071085D">
        <w:rPr>
          <w:lang w:val="en-CA"/>
        </w:rPr>
        <w:t>profile</w:t>
      </w:r>
      <w:r w:rsidR="002C18C1" w:rsidRPr="0071085D">
        <w:rPr>
          <w:lang w:val="en-CA"/>
        </w:rPr>
        <w:t xml:space="preserve">s:  non-sexually active, </w:t>
      </w:r>
      <w:r w:rsidR="002C18C1" w:rsidRPr="0071085D">
        <w:rPr>
          <w:lang w:val="en-CA"/>
        </w:rPr>
        <w:lastRenderedPageBreak/>
        <w:t>high-risk behavior</w:t>
      </w:r>
      <w:r w:rsidR="00B46055" w:rsidRPr="0071085D">
        <w:rPr>
          <w:lang w:val="en-CA"/>
        </w:rPr>
        <w:t>;</w:t>
      </w:r>
      <w:r w:rsidR="002C18C1" w:rsidRPr="0071085D">
        <w:rPr>
          <w:lang w:val="en-CA"/>
        </w:rPr>
        <w:t xml:space="preserve"> abstainers</w:t>
      </w:r>
      <w:r w:rsidR="00B46055" w:rsidRPr="0071085D">
        <w:rPr>
          <w:lang w:val="en-CA"/>
        </w:rPr>
        <w:t>;</w:t>
      </w:r>
      <w:r w:rsidR="002C18C1" w:rsidRPr="0071085D">
        <w:rPr>
          <w:lang w:val="en-CA"/>
        </w:rPr>
        <w:t xml:space="preserve"> experimenters</w:t>
      </w:r>
      <w:r w:rsidR="00621946" w:rsidRPr="0071085D">
        <w:rPr>
          <w:lang w:val="en-CA"/>
        </w:rPr>
        <w:t>,</w:t>
      </w:r>
      <w:r w:rsidR="002C18C1" w:rsidRPr="0071085D">
        <w:rPr>
          <w:lang w:val="en-CA"/>
        </w:rPr>
        <w:t xml:space="preserve"> and high diverse risk behavior. </w:t>
      </w:r>
      <w:r w:rsidR="002F3FF3" w:rsidRPr="0071085D">
        <w:rPr>
          <w:lang w:val="en-CA"/>
        </w:rPr>
        <w:t xml:space="preserve">Similarly, </w:t>
      </w:r>
      <w:r w:rsidR="00767451" w:rsidRPr="0071085D">
        <w:rPr>
          <w:lang w:val="en-CA"/>
        </w:rPr>
        <w:t xml:space="preserve">Lanza and Collins </w:t>
      </w:r>
      <w:r w:rsidR="002F3FF3" w:rsidRPr="0071085D">
        <w:rPr>
          <w:lang w:val="en-CA"/>
        </w:rPr>
        <w:t>(200</w:t>
      </w:r>
      <w:r w:rsidR="00767451" w:rsidRPr="0071085D">
        <w:rPr>
          <w:lang w:val="en-CA"/>
        </w:rPr>
        <w:t>8</w:t>
      </w:r>
      <w:r w:rsidR="002F3FF3" w:rsidRPr="0071085D">
        <w:rPr>
          <w:lang w:val="en-CA"/>
        </w:rPr>
        <w:t xml:space="preserve">) </w:t>
      </w:r>
      <w:r w:rsidR="00C23DBF" w:rsidRPr="0071085D">
        <w:rPr>
          <w:lang w:val="en-CA"/>
        </w:rPr>
        <w:t>identifi</w:t>
      </w:r>
      <w:r w:rsidR="002F3FF3" w:rsidRPr="0071085D">
        <w:rPr>
          <w:lang w:val="en-CA"/>
        </w:rPr>
        <w:t xml:space="preserve">ed </w:t>
      </w:r>
      <w:r w:rsidR="00C23DBF" w:rsidRPr="0071085D">
        <w:rPr>
          <w:lang w:val="en-CA"/>
        </w:rPr>
        <w:t xml:space="preserve">five </w:t>
      </w:r>
      <w:r w:rsidR="006F6C58" w:rsidRPr="0071085D">
        <w:rPr>
          <w:lang w:val="en-CA"/>
        </w:rPr>
        <w:t xml:space="preserve">profiles of </w:t>
      </w:r>
      <w:r w:rsidR="002F3FF3" w:rsidRPr="0071085D">
        <w:rPr>
          <w:lang w:val="en-CA"/>
        </w:rPr>
        <w:t xml:space="preserve">risk-taking sexual </w:t>
      </w:r>
      <w:r w:rsidR="007948F9" w:rsidRPr="0071085D">
        <w:rPr>
          <w:lang w:val="en-CA"/>
        </w:rPr>
        <w:t>behavior</w:t>
      </w:r>
      <w:r w:rsidR="002F3FF3" w:rsidRPr="0071085D">
        <w:rPr>
          <w:lang w:val="en-CA"/>
        </w:rPr>
        <w:t>s from</w:t>
      </w:r>
      <w:r w:rsidR="007948F9" w:rsidRPr="0071085D">
        <w:rPr>
          <w:lang w:val="en-CA"/>
        </w:rPr>
        <w:t xml:space="preserve"> late adolescence t</w:t>
      </w:r>
      <w:r w:rsidR="002F3FF3" w:rsidRPr="0071085D">
        <w:rPr>
          <w:lang w:val="en-CA"/>
        </w:rPr>
        <w:t xml:space="preserve">o </w:t>
      </w:r>
      <w:r w:rsidR="006F6C58" w:rsidRPr="0071085D">
        <w:rPr>
          <w:lang w:val="en-CA"/>
        </w:rPr>
        <w:t>emerging adulthood</w:t>
      </w:r>
      <w:r w:rsidR="00C23DBF" w:rsidRPr="0071085D">
        <w:rPr>
          <w:lang w:val="en-CA"/>
        </w:rPr>
        <w:t>: non-daters, daters, monogamous, multi-partner safe</w:t>
      </w:r>
      <w:r w:rsidR="00B16187" w:rsidRPr="0071085D">
        <w:rPr>
          <w:lang w:val="en-CA"/>
        </w:rPr>
        <w:t>,</w:t>
      </w:r>
      <w:r w:rsidR="00C23DBF" w:rsidRPr="0071085D">
        <w:rPr>
          <w:lang w:val="en-CA"/>
        </w:rPr>
        <w:t xml:space="preserve"> and multi-partner exposed.</w:t>
      </w:r>
      <w:r w:rsidR="006C413D" w:rsidRPr="0071085D">
        <w:rPr>
          <w:lang w:val="en-CA"/>
        </w:rPr>
        <w:t xml:space="preserve"> T</w:t>
      </w:r>
      <w:r w:rsidR="00B46055" w:rsidRPr="0071085D">
        <w:rPr>
          <w:lang w:val="en-CA"/>
        </w:rPr>
        <w:t xml:space="preserve">hese studies </w:t>
      </w:r>
      <w:r w:rsidR="007870A5" w:rsidRPr="0071085D">
        <w:rPr>
          <w:lang w:val="en-CA"/>
        </w:rPr>
        <w:t>suggest</w:t>
      </w:r>
      <w:r w:rsidR="00B46055" w:rsidRPr="0071085D">
        <w:rPr>
          <w:lang w:val="en-CA"/>
        </w:rPr>
        <w:t xml:space="preserve"> the existence of distinctive profiles of sexual and substance use risk-taking behaviors. Individuals classified in the</w:t>
      </w:r>
      <w:r w:rsidR="001E1582" w:rsidRPr="0071085D">
        <w:rPr>
          <w:lang w:val="en-CA"/>
        </w:rPr>
        <w:t>ir</w:t>
      </w:r>
      <w:r w:rsidR="00B46055" w:rsidRPr="0071085D">
        <w:rPr>
          <w:lang w:val="en-CA"/>
        </w:rPr>
        <w:t xml:space="preserve"> higher-risk profiles share</w:t>
      </w:r>
      <w:r w:rsidR="00710EC5" w:rsidRPr="0071085D">
        <w:rPr>
          <w:lang w:val="en-CA"/>
        </w:rPr>
        <w:t xml:space="preserve">d </w:t>
      </w:r>
      <w:r w:rsidR="00B46055" w:rsidRPr="0071085D">
        <w:rPr>
          <w:lang w:val="en-CA"/>
        </w:rPr>
        <w:t xml:space="preserve">characteristics across studies: </w:t>
      </w:r>
      <w:r w:rsidR="001E1582" w:rsidRPr="0071085D">
        <w:rPr>
          <w:lang w:val="en-CA"/>
        </w:rPr>
        <w:t xml:space="preserve">most had an early sexual onset, </w:t>
      </w:r>
      <w:r w:rsidR="00B46055" w:rsidRPr="0071085D">
        <w:rPr>
          <w:lang w:val="en-CA"/>
        </w:rPr>
        <w:t>multiple partners</w:t>
      </w:r>
      <w:r w:rsidR="006C413D" w:rsidRPr="0071085D">
        <w:rPr>
          <w:lang w:val="en-CA"/>
        </w:rPr>
        <w:t>, inconsistent condom use</w:t>
      </w:r>
      <w:r w:rsidR="001E1582" w:rsidRPr="0071085D">
        <w:rPr>
          <w:lang w:val="en-CA"/>
        </w:rPr>
        <w:t>, and</w:t>
      </w:r>
      <w:r w:rsidR="00B46055" w:rsidRPr="0071085D">
        <w:rPr>
          <w:lang w:val="en-CA"/>
        </w:rPr>
        <w:t xml:space="preserve"> </w:t>
      </w:r>
      <w:r w:rsidR="00417A85" w:rsidRPr="0071085D">
        <w:rPr>
          <w:lang w:val="en-CA"/>
        </w:rPr>
        <w:t xml:space="preserve">engage in </w:t>
      </w:r>
      <w:r w:rsidR="005A3BFC" w:rsidRPr="0071085D">
        <w:rPr>
          <w:lang w:val="en-CA"/>
        </w:rPr>
        <w:t xml:space="preserve">substance </w:t>
      </w:r>
      <w:r w:rsidR="00B46055" w:rsidRPr="0071085D">
        <w:rPr>
          <w:lang w:val="en-CA"/>
        </w:rPr>
        <w:t>use</w:t>
      </w:r>
      <w:r w:rsidR="001E1582" w:rsidRPr="0071085D">
        <w:rPr>
          <w:lang w:val="en-CA"/>
        </w:rPr>
        <w:t>.</w:t>
      </w:r>
      <w:r w:rsidR="00B46055" w:rsidRPr="0071085D">
        <w:rPr>
          <w:lang w:val="en-CA"/>
        </w:rPr>
        <w:t xml:space="preserve"> </w:t>
      </w:r>
      <w:r w:rsidR="001E1582" w:rsidRPr="0071085D">
        <w:rPr>
          <w:lang w:val="en-CA"/>
        </w:rPr>
        <w:t>T</w:t>
      </w:r>
      <w:r w:rsidR="00B46055" w:rsidRPr="0071085D">
        <w:rPr>
          <w:lang w:val="en-CA"/>
        </w:rPr>
        <w:t xml:space="preserve">hose engaging in polysubstance use report higher rates of engaging in sexual </w:t>
      </w:r>
      <w:r w:rsidR="007E0149" w:rsidRPr="0071085D">
        <w:rPr>
          <w:lang w:val="en-CA"/>
        </w:rPr>
        <w:t>risk-taking</w:t>
      </w:r>
      <w:r w:rsidR="00B46055" w:rsidRPr="0071085D">
        <w:rPr>
          <w:lang w:val="en-CA"/>
        </w:rPr>
        <w:t xml:space="preserve"> </w:t>
      </w:r>
      <w:r w:rsidR="00417A85" w:rsidRPr="0071085D">
        <w:rPr>
          <w:lang w:val="en-CA"/>
        </w:rPr>
        <w:t>and were the most likely to develop a substance use disorder (Brookmeyer &amp; Henrich, 2009).</w:t>
      </w:r>
    </w:p>
    <w:p w14:paraId="36CE4FDC" w14:textId="346A0B1F" w:rsidR="004D1E2A" w:rsidRPr="0071085D" w:rsidRDefault="005B7B78" w:rsidP="00A571CA">
      <w:pPr>
        <w:widowControl w:val="0"/>
        <w:autoSpaceDE w:val="0"/>
        <w:autoSpaceDN w:val="0"/>
        <w:adjustRightInd w:val="0"/>
        <w:spacing w:after="0" w:line="480" w:lineRule="auto"/>
        <w:ind w:firstLine="708"/>
        <w:rPr>
          <w:rFonts w:eastAsia="Times New Roman"/>
          <w:lang w:val="en-CA" w:eastAsia="fr-CA"/>
        </w:rPr>
      </w:pPr>
      <w:r w:rsidRPr="0071085D">
        <w:rPr>
          <w:rStyle w:val="NotedebasdepageCar"/>
          <w:rFonts w:eastAsia="Times"/>
          <w:sz w:val="24"/>
          <w:szCs w:val="24"/>
          <w:lang w:val="en-CA"/>
        </w:rPr>
        <w:t>The reviewed literature provide</w:t>
      </w:r>
      <w:r w:rsidR="00EA6D08" w:rsidRPr="0071085D">
        <w:rPr>
          <w:rStyle w:val="NotedebasdepageCar"/>
          <w:rFonts w:eastAsia="Times"/>
          <w:sz w:val="24"/>
          <w:szCs w:val="24"/>
          <w:lang w:val="en-CA"/>
        </w:rPr>
        <w:t>s</w:t>
      </w:r>
      <w:r w:rsidRPr="0071085D">
        <w:rPr>
          <w:rStyle w:val="NotedebasdepageCar"/>
          <w:rFonts w:eastAsia="Times"/>
          <w:sz w:val="24"/>
          <w:szCs w:val="24"/>
          <w:lang w:val="en-CA"/>
        </w:rPr>
        <w:t xml:space="preserve"> useful knowledge on the bidirectional influences of sexual and substance use behaviors</w:t>
      </w:r>
      <w:r w:rsidR="007D7CB1" w:rsidRPr="0071085D">
        <w:rPr>
          <w:rStyle w:val="NotedebasdepageCar"/>
          <w:rFonts w:eastAsia="Times"/>
          <w:sz w:val="24"/>
          <w:szCs w:val="24"/>
          <w:lang w:val="en-CA"/>
        </w:rPr>
        <w:t>,</w:t>
      </w:r>
      <w:r w:rsidRPr="0071085D">
        <w:rPr>
          <w:rStyle w:val="NotedebasdepageCar"/>
          <w:rFonts w:eastAsia="Times"/>
          <w:sz w:val="24"/>
          <w:szCs w:val="24"/>
          <w:lang w:val="en-CA"/>
        </w:rPr>
        <w:t xml:space="preserve"> and on their persisting co-occurrence </w:t>
      </w:r>
      <w:r w:rsidR="007D7CB1" w:rsidRPr="0071085D">
        <w:rPr>
          <w:rStyle w:val="NotedebasdepageCar"/>
          <w:rFonts w:eastAsia="Times"/>
          <w:sz w:val="24"/>
          <w:szCs w:val="24"/>
          <w:lang w:val="en-CA"/>
        </w:rPr>
        <w:t xml:space="preserve">over </w:t>
      </w:r>
      <w:r w:rsidR="002C18C1" w:rsidRPr="0071085D">
        <w:rPr>
          <w:rStyle w:val="NotedebasdepageCar"/>
          <w:rFonts w:eastAsia="Times"/>
          <w:sz w:val="24"/>
          <w:szCs w:val="24"/>
          <w:lang w:val="en-CA"/>
        </w:rPr>
        <w:t>time (Boisvert et al., 2017</w:t>
      </w:r>
      <w:r w:rsidR="00A74CBC" w:rsidRPr="0071085D">
        <w:rPr>
          <w:rStyle w:val="NotedebasdepageCar"/>
          <w:rFonts w:eastAsia="Times"/>
          <w:sz w:val="24"/>
          <w:szCs w:val="24"/>
          <w:lang w:val="en-CA"/>
        </w:rPr>
        <w:t xml:space="preserve">; </w:t>
      </w:r>
      <w:r w:rsidR="00D42C9B" w:rsidRPr="0071085D">
        <w:rPr>
          <w:lang w:val="en-CA"/>
        </w:rPr>
        <w:t>Metzger et al., 2017</w:t>
      </w:r>
      <w:r w:rsidRPr="0071085D">
        <w:rPr>
          <w:lang w:val="en-CA"/>
        </w:rPr>
        <w:t>)</w:t>
      </w:r>
      <w:r w:rsidRPr="0071085D">
        <w:rPr>
          <w:rStyle w:val="NotedebasdepageCar"/>
          <w:rFonts w:eastAsia="Times"/>
          <w:sz w:val="24"/>
          <w:szCs w:val="24"/>
          <w:lang w:val="en-CA"/>
        </w:rPr>
        <w:t>. However</w:t>
      </w:r>
      <w:r w:rsidR="00D02690" w:rsidRPr="0071085D">
        <w:rPr>
          <w:rStyle w:val="NotedebasdepageCar"/>
          <w:rFonts w:eastAsia="Times"/>
          <w:sz w:val="24"/>
          <w:szCs w:val="24"/>
          <w:lang w:val="en-CA"/>
        </w:rPr>
        <w:t xml:space="preserve">, our current knowledge remains limited. Firstly, most studies </w:t>
      </w:r>
      <w:r w:rsidR="00D379A9" w:rsidRPr="0071085D">
        <w:rPr>
          <w:rStyle w:val="NotedebasdepageCar"/>
          <w:rFonts w:eastAsia="Times"/>
          <w:sz w:val="24"/>
          <w:szCs w:val="24"/>
          <w:lang w:val="en-CA"/>
        </w:rPr>
        <w:t>focus</w:t>
      </w:r>
      <w:r w:rsidR="00B810B9" w:rsidRPr="0071085D">
        <w:rPr>
          <w:rStyle w:val="NotedebasdepageCar"/>
          <w:rFonts w:eastAsia="Times"/>
          <w:sz w:val="24"/>
          <w:szCs w:val="24"/>
          <w:lang w:val="en-CA"/>
        </w:rPr>
        <w:t xml:space="preserve"> on </w:t>
      </w:r>
      <w:r w:rsidR="00714E19" w:rsidRPr="0071085D">
        <w:rPr>
          <w:rStyle w:val="NotedebasdepageCar"/>
          <w:rFonts w:eastAsia="Times"/>
          <w:sz w:val="24"/>
          <w:szCs w:val="24"/>
          <w:lang w:val="en-CA"/>
        </w:rPr>
        <w:t>a limited number of risk-</w:t>
      </w:r>
      <w:r w:rsidR="0028685C" w:rsidRPr="0071085D">
        <w:rPr>
          <w:rStyle w:val="NotedebasdepageCar"/>
          <w:rFonts w:eastAsia="Times"/>
          <w:sz w:val="24"/>
          <w:szCs w:val="24"/>
          <w:lang w:val="en-CA"/>
        </w:rPr>
        <w:t>taking behaviors</w:t>
      </w:r>
      <w:r w:rsidR="00466718" w:rsidRPr="0071085D">
        <w:rPr>
          <w:rStyle w:val="NotedebasdepageCar"/>
          <w:rFonts w:eastAsia="Times"/>
          <w:sz w:val="24"/>
          <w:szCs w:val="24"/>
          <w:lang w:val="en-CA"/>
        </w:rPr>
        <w:t>, mostly</w:t>
      </w:r>
      <w:r w:rsidR="0028685C" w:rsidRPr="0071085D">
        <w:rPr>
          <w:rStyle w:val="NotedebasdepageCar"/>
          <w:rFonts w:eastAsia="Times"/>
          <w:sz w:val="24"/>
          <w:szCs w:val="24"/>
          <w:lang w:val="en-CA"/>
        </w:rPr>
        <w:t xml:space="preserve"> </w:t>
      </w:r>
      <w:r w:rsidR="00247855" w:rsidRPr="0071085D">
        <w:rPr>
          <w:rStyle w:val="NotedebasdepageCar"/>
          <w:rFonts w:eastAsia="Times"/>
          <w:sz w:val="24"/>
          <w:szCs w:val="24"/>
          <w:lang w:val="en-CA"/>
        </w:rPr>
        <w:t>unprotected sex</w:t>
      </w:r>
      <w:r w:rsidR="002F3FF3" w:rsidRPr="0071085D">
        <w:rPr>
          <w:rStyle w:val="NotedebasdepageCar"/>
          <w:rFonts w:eastAsia="Times"/>
          <w:sz w:val="24"/>
          <w:szCs w:val="24"/>
          <w:lang w:val="en-CA"/>
        </w:rPr>
        <w:t>,</w:t>
      </w:r>
      <w:r w:rsidR="00B810B9" w:rsidRPr="0071085D">
        <w:rPr>
          <w:rStyle w:val="NotedebasdepageCar"/>
          <w:rFonts w:eastAsia="Times"/>
          <w:sz w:val="24"/>
          <w:szCs w:val="24"/>
          <w:lang w:val="en-CA"/>
        </w:rPr>
        <w:t xml:space="preserve"> </w:t>
      </w:r>
      <w:r w:rsidR="00D42C9B" w:rsidRPr="0071085D">
        <w:rPr>
          <w:rStyle w:val="NotedebasdepageCar"/>
          <w:rFonts w:eastAsia="Times"/>
          <w:sz w:val="24"/>
          <w:szCs w:val="24"/>
          <w:lang w:val="en-CA"/>
        </w:rPr>
        <w:t>multi</w:t>
      </w:r>
      <w:r w:rsidR="000A5018" w:rsidRPr="0071085D">
        <w:rPr>
          <w:rStyle w:val="NotedebasdepageCar"/>
          <w:rFonts w:eastAsia="Times"/>
          <w:sz w:val="24"/>
          <w:szCs w:val="24"/>
          <w:lang w:val="en-CA"/>
        </w:rPr>
        <w:t>ple sexual partners</w:t>
      </w:r>
      <w:r w:rsidR="00247855" w:rsidRPr="0071085D">
        <w:rPr>
          <w:rStyle w:val="NotedebasdepageCar"/>
          <w:rFonts w:eastAsia="Times"/>
          <w:sz w:val="24"/>
          <w:szCs w:val="24"/>
          <w:lang w:val="en-CA"/>
        </w:rPr>
        <w:t xml:space="preserve"> </w:t>
      </w:r>
      <w:r w:rsidR="00466718" w:rsidRPr="0071085D">
        <w:rPr>
          <w:rStyle w:val="NotedebasdepageCar"/>
          <w:rFonts w:eastAsia="Times"/>
          <w:sz w:val="24"/>
          <w:szCs w:val="24"/>
          <w:lang w:val="en-CA"/>
        </w:rPr>
        <w:t>(</w:t>
      </w:r>
      <w:r w:rsidR="00F30D83" w:rsidRPr="0071085D">
        <w:rPr>
          <w:rStyle w:val="NotedebasdepageCar"/>
          <w:rFonts w:eastAsia="Times"/>
          <w:sz w:val="24"/>
          <w:szCs w:val="24"/>
          <w:lang w:val="en-CA"/>
        </w:rPr>
        <w:t>Kaplan et al., 2013</w:t>
      </w:r>
      <w:r w:rsidR="00D379A9" w:rsidRPr="0071085D">
        <w:rPr>
          <w:rStyle w:val="NotedebasdepageCar"/>
          <w:rFonts w:eastAsia="Times"/>
          <w:sz w:val="24"/>
          <w:szCs w:val="24"/>
          <w:lang w:val="en-CA"/>
        </w:rPr>
        <w:t>)</w:t>
      </w:r>
      <w:r w:rsidR="00466718" w:rsidRPr="0071085D">
        <w:rPr>
          <w:rStyle w:val="NotedebasdepageCar"/>
          <w:rFonts w:eastAsia="Times"/>
          <w:sz w:val="24"/>
          <w:szCs w:val="24"/>
          <w:lang w:val="en-CA"/>
        </w:rPr>
        <w:t xml:space="preserve"> </w:t>
      </w:r>
      <w:r w:rsidR="00D42C9B" w:rsidRPr="0071085D">
        <w:rPr>
          <w:rStyle w:val="NotedebasdepageCar"/>
          <w:rFonts w:eastAsia="Times"/>
          <w:sz w:val="24"/>
          <w:szCs w:val="24"/>
          <w:lang w:val="en-CA"/>
        </w:rPr>
        <w:t>and</w:t>
      </w:r>
      <w:r w:rsidR="0075430B" w:rsidRPr="0071085D">
        <w:rPr>
          <w:rStyle w:val="NotedebasdepageCar"/>
          <w:rFonts w:eastAsia="Times"/>
          <w:sz w:val="24"/>
          <w:szCs w:val="24"/>
          <w:lang w:val="en-CA"/>
        </w:rPr>
        <w:t xml:space="preserve"> </w:t>
      </w:r>
      <w:r w:rsidR="00FC09A0" w:rsidRPr="0071085D">
        <w:rPr>
          <w:rStyle w:val="NotedebasdepageCar"/>
          <w:rFonts w:eastAsia="Times"/>
          <w:sz w:val="24"/>
          <w:szCs w:val="24"/>
          <w:lang w:val="en-CA"/>
        </w:rPr>
        <w:t>binge drinking</w:t>
      </w:r>
      <w:r w:rsidR="0075430B" w:rsidRPr="0071085D">
        <w:rPr>
          <w:rStyle w:val="NotedebasdepageCar"/>
          <w:rFonts w:eastAsia="Times"/>
          <w:sz w:val="24"/>
          <w:szCs w:val="24"/>
          <w:lang w:val="en-CA"/>
        </w:rPr>
        <w:t xml:space="preserve"> (Metzger et al., 2017)</w:t>
      </w:r>
      <w:r w:rsidR="00EE3BCE" w:rsidRPr="0071085D">
        <w:rPr>
          <w:rStyle w:val="NotedebasdepageCar"/>
          <w:rFonts w:eastAsia="Times"/>
          <w:sz w:val="24"/>
          <w:szCs w:val="24"/>
          <w:lang w:val="en-CA"/>
        </w:rPr>
        <w:t>.</w:t>
      </w:r>
      <w:r w:rsidR="00F3372E" w:rsidRPr="0071085D">
        <w:rPr>
          <w:rStyle w:val="NotedebasdepageCar"/>
          <w:rFonts w:eastAsia="Times"/>
          <w:sz w:val="24"/>
          <w:szCs w:val="24"/>
          <w:lang w:val="en-CA"/>
        </w:rPr>
        <w:t xml:space="preserve"> </w:t>
      </w:r>
      <w:r w:rsidR="00341751" w:rsidRPr="0071085D">
        <w:rPr>
          <w:rFonts w:eastAsia="Times New Roman"/>
          <w:lang w:val="en-CA" w:eastAsia="fr-CA"/>
        </w:rPr>
        <w:t>Secondly, s</w:t>
      </w:r>
      <w:r w:rsidR="00EE3BCE" w:rsidRPr="0071085D">
        <w:rPr>
          <w:rStyle w:val="NotedebasdepageCar"/>
          <w:rFonts w:eastAsia="Times"/>
          <w:sz w:val="24"/>
          <w:szCs w:val="24"/>
          <w:lang w:val="en-CA"/>
        </w:rPr>
        <w:t>ubstance use</w:t>
      </w:r>
      <w:r w:rsidR="007E0149" w:rsidRPr="0071085D">
        <w:rPr>
          <w:rStyle w:val="NotedebasdepageCar"/>
          <w:rFonts w:eastAsia="Times"/>
          <w:sz w:val="24"/>
          <w:szCs w:val="24"/>
          <w:lang w:val="en-CA"/>
        </w:rPr>
        <w:t xml:space="preserve"> risk-taking</w:t>
      </w:r>
      <w:r w:rsidR="00EE3BCE" w:rsidRPr="0071085D">
        <w:rPr>
          <w:rStyle w:val="NotedebasdepageCar"/>
          <w:rFonts w:eastAsia="Times"/>
          <w:sz w:val="24"/>
          <w:szCs w:val="24"/>
          <w:lang w:val="en-CA"/>
        </w:rPr>
        <w:t xml:space="preserve"> behaviors have been examined </w:t>
      </w:r>
      <w:r w:rsidR="00664F60" w:rsidRPr="0071085D">
        <w:rPr>
          <w:rStyle w:val="NotedebasdepageCar"/>
          <w:rFonts w:eastAsia="Times"/>
          <w:sz w:val="24"/>
          <w:szCs w:val="24"/>
          <w:lang w:val="en-CA"/>
        </w:rPr>
        <w:t xml:space="preserve">mostly for </w:t>
      </w:r>
      <w:r w:rsidR="00EE3BCE" w:rsidRPr="0071085D">
        <w:rPr>
          <w:rFonts w:eastAsia="Times New Roman"/>
          <w:lang w:val="en-CA" w:eastAsia="fr-CA"/>
        </w:rPr>
        <w:t xml:space="preserve">alcohol (Patrick &amp; Maggs, 2010), </w:t>
      </w:r>
      <w:r w:rsidR="0075430B" w:rsidRPr="0071085D">
        <w:rPr>
          <w:rFonts w:eastAsia="Times New Roman"/>
          <w:lang w:val="en-CA" w:eastAsia="fr-CA"/>
        </w:rPr>
        <w:t>illegal pharmaceutical opioids (Carlson et al., 2014) or inject</w:t>
      </w:r>
      <w:r w:rsidR="001D09B0" w:rsidRPr="0071085D">
        <w:rPr>
          <w:rFonts w:eastAsia="Times New Roman"/>
          <w:lang w:val="en-CA" w:eastAsia="fr-CA"/>
        </w:rPr>
        <w:t>ion</w:t>
      </w:r>
      <w:r w:rsidR="0075430B" w:rsidRPr="0071085D">
        <w:rPr>
          <w:rFonts w:eastAsia="Times New Roman"/>
          <w:lang w:val="en-CA" w:eastAsia="fr-CA"/>
        </w:rPr>
        <w:t xml:space="preserve"> </w:t>
      </w:r>
      <w:r w:rsidR="005A3BFC" w:rsidRPr="0071085D">
        <w:rPr>
          <w:rFonts w:eastAsia="Times New Roman"/>
          <w:lang w:val="en-CA" w:eastAsia="fr-CA"/>
        </w:rPr>
        <w:t xml:space="preserve">substance </w:t>
      </w:r>
      <w:r w:rsidR="001D09B0" w:rsidRPr="0071085D">
        <w:rPr>
          <w:rFonts w:eastAsia="Times New Roman"/>
          <w:lang w:val="en-CA" w:eastAsia="fr-CA"/>
        </w:rPr>
        <w:t>use</w:t>
      </w:r>
      <w:r w:rsidR="0075430B" w:rsidRPr="0071085D">
        <w:rPr>
          <w:rFonts w:eastAsia="Times New Roman"/>
          <w:lang w:val="en-CA" w:eastAsia="fr-CA"/>
        </w:rPr>
        <w:t xml:space="preserve"> (James et al., 2013)</w:t>
      </w:r>
      <w:r w:rsidR="00EE3BCE" w:rsidRPr="0071085D">
        <w:rPr>
          <w:rFonts w:eastAsia="Times New Roman"/>
          <w:lang w:val="en-CA" w:eastAsia="fr-CA"/>
        </w:rPr>
        <w:t xml:space="preserve">, but rarely </w:t>
      </w:r>
      <w:r w:rsidR="00664F60" w:rsidRPr="0071085D">
        <w:rPr>
          <w:rFonts w:eastAsia="Times New Roman"/>
          <w:lang w:val="en-CA" w:eastAsia="fr-CA"/>
        </w:rPr>
        <w:t>for</w:t>
      </w:r>
      <w:r w:rsidR="00EE3BCE" w:rsidRPr="0071085D">
        <w:rPr>
          <w:rFonts w:eastAsia="Times New Roman"/>
          <w:lang w:val="en-CA" w:eastAsia="fr-CA"/>
        </w:rPr>
        <w:t xml:space="preserve"> </w:t>
      </w:r>
      <w:r w:rsidR="00664F60" w:rsidRPr="0071085D">
        <w:rPr>
          <w:rFonts w:eastAsia="Times New Roman"/>
          <w:lang w:val="en-CA" w:eastAsia="fr-CA"/>
        </w:rPr>
        <w:t>polysubstance use</w:t>
      </w:r>
      <w:r w:rsidR="00EE3BCE" w:rsidRPr="0071085D">
        <w:rPr>
          <w:rFonts w:eastAsia="Times New Roman"/>
          <w:lang w:val="en-CA" w:eastAsia="fr-CA"/>
        </w:rPr>
        <w:t xml:space="preserve">. </w:t>
      </w:r>
      <w:r w:rsidR="00883E5D" w:rsidRPr="0071085D">
        <w:rPr>
          <w:lang w:val="en-CA"/>
        </w:rPr>
        <w:t>The rare</w:t>
      </w:r>
      <w:r w:rsidR="00742EB4" w:rsidRPr="0071085D">
        <w:rPr>
          <w:lang w:val="en-CA"/>
        </w:rPr>
        <w:t xml:space="preserve"> </w:t>
      </w:r>
      <w:r w:rsidR="00BB34FD" w:rsidRPr="0071085D">
        <w:rPr>
          <w:lang w:val="en-CA"/>
        </w:rPr>
        <w:t>LCA s</w:t>
      </w:r>
      <w:r w:rsidR="00A9080A" w:rsidRPr="0071085D">
        <w:rPr>
          <w:lang w:val="en-CA"/>
        </w:rPr>
        <w:t xml:space="preserve">tudies </w:t>
      </w:r>
      <w:r w:rsidR="005979C1" w:rsidRPr="0071085D">
        <w:rPr>
          <w:lang w:val="en-CA"/>
        </w:rPr>
        <w:t>assessing</w:t>
      </w:r>
      <w:r w:rsidR="00A56EE0" w:rsidRPr="0071085D">
        <w:rPr>
          <w:lang w:val="en-CA"/>
        </w:rPr>
        <w:t xml:space="preserve"> polysubstance use have </w:t>
      </w:r>
      <w:r w:rsidR="000A5018" w:rsidRPr="0071085D">
        <w:rPr>
          <w:rFonts w:eastAsia="Times New Roman"/>
          <w:lang w:val="en-CA" w:eastAsia="fr-CA"/>
        </w:rPr>
        <w:t>mostly been</w:t>
      </w:r>
      <w:r w:rsidR="00A56EE0" w:rsidRPr="0071085D">
        <w:rPr>
          <w:rFonts w:eastAsia="Times New Roman"/>
          <w:lang w:val="en-CA" w:eastAsia="fr-CA"/>
        </w:rPr>
        <w:t xml:space="preserve"> </w:t>
      </w:r>
      <w:r w:rsidR="000A5018" w:rsidRPr="0071085D">
        <w:rPr>
          <w:rFonts w:eastAsia="Times New Roman"/>
          <w:lang w:val="en-CA" w:eastAsia="fr-CA"/>
        </w:rPr>
        <w:t>conducted</w:t>
      </w:r>
      <w:r w:rsidR="00A56EE0" w:rsidRPr="0071085D">
        <w:rPr>
          <w:lang w:val="en-CA"/>
        </w:rPr>
        <w:t xml:space="preserve"> with </w:t>
      </w:r>
      <w:r w:rsidR="005A3BFC" w:rsidRPr="0071085D">
        <w:rPr>
          <w:lang w:val="en-CA"/>
        </w:rPr>
        <w:t xml:space="preserve">men who have sex with men </w:t>
      </w:r>
      <w:r w:rsidR="00341751" w:rsidRPr="0071085D">
        <w:rPr>
          <w:lang w:val="en-CA"/>
        </w:rPr>
        <w:t>(Lim et al., 2015</w:t>
      </w:r>
      <w:r w:rsidR="004D38AB" w:rsidRPr="0071085D">
        <w:rPr>
          <w:lang w:val="en-CA"/>
        </w:rPr>
        <w:t>; McCarty-Caplan et al., 2014</w:t>
      </w:r>
      <w:r w:rsidR="00AA6D16" w:rsidRPr="0071085D">
        <w:rPr>
          <w:rFonts w:eastAsia="Times New Roman"/>
          <w:lang w:val="en-CA" w:eastAsia="fr-CA"/>
        </w:rPr>
        <w:t xml:space="preserve">; </w:t>
      </w:r>
      <w:r w:rsidR="00AA6D16" w:rsidRPr="0071085D">
        <w:rPr>
          <w:lang w:val="en-CA"/>
        </w:rPr>
        <w:t>Rice et al., 2016</w:t>
      </w:r>
      <w:r w:rsidR="00341751" w:rsidRPr="0071085D">
        <w:rPr>
          <w:rFonts w:eastAsia="Times New Roman"/>
          <w:lang w:val="en-CA" w:eastAsia="fr-CA"/>
        </w:rPr>
        <w:t>)</w:t>
      </w:r>
      <w:r w:rsidR="00F03583" w:rsidRPr="0071085D">
        <w:rPr>
          <w:lang w:val="en-CA"/>
        </w:rPr>
        <w:t>.</w:t>
      </w:r>
      <w:r w:rsidR="00D20571" w:rsidRPr="0071085D">
        <w:rPr>
          <w:rStyle w:val="NotedebasdepageCar"/>
          <w:rFonts w:eastAsia="Times"/>
          <w:sz w:val="24"/>
          <w:szCs w:val="24"/>
          <w:lang w:val="en-CA"/>
        </w:rPr>
        <w:t xml:space="preserve"> </w:t>
      </w:r>
      <w:r w:rsidR="00341751" w:rsidRPr="0071085D">
        <w:rPr>
          <w:rStyle w:val="NotedebasdepageCar"/>
          <w:rFonts w:eastAsia="Times"/>
          <w:sz w:val="24"/>
          <w:szCs w:val="24"/>
          <w:lang w:val="en-CA"/>
        </w:rPr>
        <w:t>Thirdly, few studies explored unprotected sex with</w:t>
      </w:r>
      <w:r w:rsidR="00EB1218" w:rsidRPr="0071085D">
        <w:rPr>
          <w:rStyle w:val="NotedebasdepageCar"/>
          <w:rFonts w:eastAsia="Times"/>
          <w:sz w:val="24"/>
          <w:szCs w:val="24"/>
          <w:lang w:val="en-CA"/>
        </w:rPr>
        <w:t xml:space="preserve"> both </w:t>
      </w:r>
      <w:r w:rsidR="00AA6D16" w:rsidRPr="0071085D">
        <w:rPr>
          <w:rStyle w:val="NotedebasdepageCar"/>
          <w:rFonts w:eastAsia="Times"/>
          <w:sz w:val="24"/>
          <w:szCs w:val="24"/>
          <w:lang w:val="en-CA"/>
        </w:rPr>
        <w:t xml:space="preserve">committed </w:t>
      </w:r>
      <w:r w:rsidR="00EB1218" w:rsidRPr="0071085D">
        <w:rPr>
          <w:rStyle w:val="NotedebasdepageCar"/>
          <w:rFonts w:eastAsia="Times"/>
          <w:sz w:val="24"/>
          <w:szCs w:val="24"/>
          <w:lang w:val="en-CA"/>
        </w:rPr>
        <w:t xml:space="preserve">and </w:t>
      </w:r>
      <w:r w:rsidR="00341751" w:rsidRPr="0071085D">
        <w:rPr>
          <w:rStyle w:val="NotedebasdepageCar"/>
          <w:rFonts w:eastAsia="Times"/>
          <w:sz w:val="24"/>
          <w:szCs w:val="24"/>
          <w:lang w:val="en-CA"/>
        </w:rPr>
        <w:t xml:space="preserve">casual </w:t>
      </w:r>
      <w:r w:rsidR="00F825B2" w:rsidRPr="0071085D">
        <w:rPr>
          <w:rStyle w:val="NotedebasdepageCar"/>
          <w:rFonts w:eastAsia="Times"/>
          <w:sz w:val="24"/>
          <w:szCs w:val="24"/>
          <w:lang w:val="en-CA"/>
        </w:rPr>
        <w:t xml:space="preserve">partners </w:t>
      </w:r>
      <w:r w:rsidR="00341751" w:rsidRPr="0071085D">
        <w:rPr>
          <w:rStyle w:val="NotedebasdepageCar"/>
          <w:rFonts w:eastAsia="Times"/>
          <w:sz w:val="24"/>
          <w:szCs w:val="24"/>
          <w:lang w:val="en-CA"/>
        </w:rPr>
        <w:t>(Konda et al., 2011).</w:t>
      </w:r>
      <w:r w:rsidR="00EB1218" w:rsidRPr="0071085D">
        <w:rPr>
          <w:rStyle w:val="NotedebasdepageCar"/>
          <w:rFonts w:eastAsia="Times"/>
          <w:sz w:val="24"/>
          <w:szCs w:val="24"/>
          <w:lang w:val="en-CA"/>
        </w:rPr>
        <w:t xml:space="preserve"> </w:t>
      </w:r>
      <w:r w:rsidR="00341751" w:rsidRPr="0071085D">
        <w:rPr>
          <w:rStyle w:val="NotedebasdepageCar"/>
          <w:rFonts w:eastAsia="Times"/>
          <w:sz w:val="24"/>
          <w:lang w:val="en-CA"/>
        </w:rPr>
        <w:t xml:space="preserve">Fourthly, </w:t>
      </w:r>
      <w:r w:rsidR="006F6C58" w:rsidRPr="0071085D">
        <w:rPr>
          <w:lang w:val="en-CA"/>
        </w:rPr>
        <w:t>studies on risk-taking profiles</w:t>
      </w:r>
      <w:r w:rsidR="005979C1" w:rsidRPr="0071085D">
        <w:rPr>
          <w:lang w:val="en-CA"/>
        </w:rPr>
        <w:t xml:space="preserve"> </w:t>
      </w:r>
      <w:r w:rsidR="00DA11A6" w:rsidRPr="0071085D">
        <w:rPr>
          <w:lang w:val="en-CA"/>
        </w:rPr>
        <w:t>hav</w:t>
      </w:r>
      <w:r w:rsidR="005979C1" w:rsidRPr="0071085D">
        <w:rPr>
          <w:lang w:val="en-CA"/>
        </w:rPr>
        <w:t>e</w:t>
      </w:r>
      <w:r w:rsidR="00DA11A6" w:rsidRPr="0071085D">
        <w:rPr>
          <w:lang w:val="en-CA"/>
        </w:rPr>
        <w:t xml:space="preserve"> been</w:t>
      </w:r>
      <w:r w:rsidR="005979C1" w:rsidRPr="0071085D">
        <w:rPr>
          <w:lang w:val="en-CA"/>
        </w:rPr>
        <w:t xml:space="preserve"> conducted with males </w:t>
      </w:r>
      <w:r w:rsidR="0091630D" w:rsidRPr="0071085D">
        <w:rPr>
          <w:rFonts w:eastAsia="Times New Roman"/>
          <w:lang w:val="en-CA" w:eastAsia="fr-CA"/>
        </w:rPr>
        <w:t xml:space="preserve">only </w:t>
      </w:r>
      <w:r w:rsidR="005979C1" w:rsidRPr="0071085D">
        <w:rPr>
          <w:lang w:val="en-CA"/>
        </w:rPr>
        <w:t>(Konda et al., 2011; Masters et al., 2015)</w:t>
      </w:r>
      <w:r w:rsidR="00DA11A6" w:rsidRPr="0071085D">
        <w:rPr>
          <w:lang w:val="en-CA"/>
        </w:rPr>
        <w:t xml:space="preserve">, </w:t>
      </w:r>
      <w:r w:rsidR="002C18C1" w:rsidRPr="0071085D">
        <w:rPr>
          <w:rFonts w:eastAsia="Times New Roman"/>
          <w:lang w:val="en-CA" w:eastAsia="fr-CA"/>
        </w:rPr>
        <w:t>samples from</w:t>
      </w:r>
      <w:r w:rsidR="005979C1" w:rsidRPr="0071085D">
        <w:rPr>
          <w:rFonts w:eastAsia="Times New Roman"/>
          <w:lang w:val="en-CA" w:eastAsia="fr-CA"/>
        </w:rPr>
        <w:t xml:space="preserve"> the U</w:t>
      </w:r>
      <w:r w:rsidR="002C18C1" w:rsidRPr="0071085D">
        <w:rPr>
          <w:rFonts w:eastAsia="Times New Roman"/>
          <w:lang w:val="en-CA" w:eastAsia="fr-CA"/>
        </w:rPr>
        <w:t>.</w:t>
      </w:r>
      <w:r w:rsidR="005979C1" w:rsidRPr="0071085D">
        <w:rPr>
          <w:rFonts w:eastAsia="Times New Roman"/>
          <w:lang w:val="en-CA" w:eastAsia="fr-CA"/>
        </w:rPr>
        <w:t>S</w:t>
      </w:r>
      <w:r w:rsidR="002C18C1" w:rsidRPr="0071085D">
        <w:rPr>
          <w:rFonts w:eastAsia="Times New Roman"/>
          <w:lang w:val="en-CA" w:eastAsia="fr-CA"/>
        </w:rPr>
        <w:t>.</w:t>
      </w:r>
      <w:r w:rsidR="005979C1" w:rsidRPr="0071085D">
        <w:rPr>
          <w:rFonts w:eastAsia="Times New Roman"/>
          <w:lang w:val="en-CA" w:eastAsia="fr-CA"/>
        </w:rPr>
        <w:t xml:space="preserve"> (James et al., 2013; </w:t>
      </w:r>
      <w:r w:rsidR="00767451" w:rsidRPr="0071085D">
        <w:rPr>
          <w:lang w:val="en-CA"/>
        </w:rPr>
        <w:t xml:space="preserve">Lanza &amp; Collins, 2008; </w:t>
      </w:r>
      <w:r w:rsidR="005979C1" w:rsidRPr="0071085D">
        <w:rPr>
          <w:lang w:val="en-CA"/>
        </w:rPr>
        <w:t>McCarty-Caplan et al., 2014</w:t>
      </w:r>
      <w:r w:rsidR="002C18C1" w:rsidRPr="0071085D">
        <w:rPr>
          <w:rFonts w:eastAsia="Times New Roman"/>
          <w:lang w:val="en-CA" w:eastAsia="fr-CA"/>
        </w:rPr>
        <w:t xml:space="preserve">) or developing countries (Konda et al., 2011; Lim et al., 2015), </w:t>
      </w:r>
      <w:r w:rsidR="005979C1" w:rsidRPr="0071085D">
        <w:rPr>
          <w:rFonts w:eastAsia="Times New Roman"/>
          <w:lang w:val="en-CA" w:eastAsia="fr-CA"/>
        </w:rPr>
        <w:t>African</w:t>
      </w:r>
      <w:r w:rsidR="00E63E0E" w:rsidRPr="0071085D">
        <w:rPr>
          <w:rFonts w:eastAsia="Times New Roman"/>
          <w:lang w:val="en-CA" w:eastAsia="fr-CA"/>
        </w:rPr>
        <w:t>-</w:t>
      </w:r>
      <w:r w:rsidR="005979C1" w:rsidRPr="0071085D">
        <w:rPr>
          <w:rFonts w:eastAsia="Times New Roman"/>
          <w:lang w:val="en-CA" w:eastAsia="fr-CA"/>
        </w:rPr>
        <w:t>American</w:t>
      </w:r>
      <w:r w:rsidR="000040CF" w:rsidRPr="0071085D">
        <w:rPr>
          <w:rFonts w:eastAsia="Times New Roman"/>
          <w:lang w:val="en-CA" w:eastAsia="fr-CA"/>
        </w:rPr>
        <w:t>s</w:t>
      </w:r>
      <w:r w:rsidR="005979C1" w:rsidRPr="0071085D">
        <w:rPr>
          <w:rFonts w:eastAsia="Times New Roman"/>
          <w:lang w:val="en-CA" w:eastAsia="fr-CA"/>
        </w:rPr>
        <w:t xml:space="preserve"> </w:t>
      </w:r>
      <w:r w:rsidR="00E63E0E" w:rsidRPr="0071085D">
        <w:rPr>
          <w:rFonts w:eastAsia="Times New Roman"/>
          <w:lang w:val="en-CA" w:eastAsia="fr-CA"/>
        </w:rPr>
        <w:t>samples</w:t>
      </w:r>
      <w:r w:rsidR="00A74CBC" w:rsidRPr="0071085D">
        <w:rPr>
          <w:rFonts w:eastAsia="Times New Roman"/>
          <w:lang w:val="en-CA" w:eastAsia="fr-CA"/>
        </w:rPr>
        <w:t xml:space="preserve"> </w:t>
      </w:r>
      <w:r w:rsidR="005979C1" w:rsidRPr="0071085D">
        <w:rPr>
          <w:rFonts w:eastAsia="Times New Roman"/>
          <w:lang w:val="en-CA" w:eastAsia="fr-CA"/>
        </w:rPr>
        <w:t>(</w:t>
      </w:r>
      <w:r w:rsidR="005979C1" w:rsidRPr="0071085D">
        <w:rPr>
          <w:lang w:val="en-CA"/>
        </w:rPr>
        <w:t xml:space="preserve">Metzger et al., </w:t>
      </w:r>
      <w:r w:rsidR="005979C1" w:rsidRPr="0071085D">
        <w:rPr>
          <w:lang w:val="en-CA"/>
        </w:rPr>
        <w:lastRenderedPageBreak/>
        <w:t>2017</w:t>
      </w:r>
      <w:r w:rsidR="005979C1" w:rsidRPr="0071085D">
        <w:rPr>
          <w:rFonts w:eastAsia="Times New Roman"/>
          <w:lang w:val="en-CA" w:eastAsia="fr-CA"/>
        </w:rPr>
        <w:t xml:space="preserve">), </w:t>
      </w:r>
      <w:r w:rsidR="00DA11A6" w:rsidRPr="0071085D">
        <w:rPr>
          <w:rFonts w:eastAsia="Times New Roman"/>
          <w:lang w:val="en-CA" w:eastAsia="fr-CA"/>
        </w:rPr>
        <w:t>and</w:t>
      </w:r>
      <w:r w:rsidR="00442697" w:rsidRPr="0071085D">
        <w:rPr>
          <w:rFonts w:eastAsia="Times New Roman"/>
          <w:lang w:val="en-CA" w:eastAsia="fr-CA"/>
        </w:rPr>
        <w:t xml:space="preserve"> </w:t>
      </w:r>
      <w:r w:rsidR="00E63E0E" w:rsidRPr="0071085D">
        <w:rPr>
          <w:rFonts w:eastAsia="Times New Roman"/>
          <w:lang w:val="en-CA" w:eastAsia="fr-CA"/>
        </w:rPr>
        <w:t>samples of</w:t>
      </w:r>
      <w:r w:rsidR="002C18C1" w:rsidRPr="0071085D">
        <w:rPr>
          <w:lang w:val="en-CA"/>
        </w:rPr>
        <w:t xml:space="preserve"> adolescents</w:t>
      </w:r>
      <w:r w:rsidR="002C18C1" w:rsidRPr="0071085D">
        <w:rPr>
          <w:rFonts w:eastAsia="Times New Roman"/>
          <w:lang w:val="en-CA" w:eastAsia="fr-CA"/>
        </w:rPr>
        <w:t xml:space="preserve"> (Sullivan et al., 2010), young adults (i.e. aged 17 to 20; </w:t>
      </w:r>
      <w:r w:rsidR="00767451" w:rsidRPr="0071085D">
        <w:rPr>
          <w:lang w:val="en-CA"/>
        </w:rPr>
        <w:t>Lanza &amp; Collins, 2008</w:t>
      </w:r>
      <w:r w:rsidR="004D1E2A" w:rsidRPr="0071085D">
        <w:rPr>
          <w:rFonts w:eastAsia="Times New Roman"/>
          <w:lang w:val="en-CA" w:eastAsia="fr-CA"/>
        </w:rPr>
        <w:t>)</w:t>
      </w:r>
      <w:r w:rsidR="000040CF" w:rsidRPr="0071085D">
        <w:rPr>
          <w:rFonts w:eastAsia="Times New Roman"/>
          <w:lang w:val="en-CA" w:eastAsia="fr-CA"/>
        </w:rPr>
        <w:t>,</w:t>
      </w:r>
      <w:r w:rsidR="004D1E2A" w:rsidRPr="0071085D">
        <w:rPr>
          <w:rFonts w:eastAsia="Times New Roman"/>
          <w:lang w:val="en-CA" w:eastAsia="fr-CA"/>
        </w:rPr>
        <w:t xml:space="preserve"> or older adults (</w:t>
      </w:r>
      <w:r w:rsidR="004D1E2A" w:rsidRPr="0071085D">
        <w:rPr>
          <w:lang w:val="en-CA"/>
        </w:rPr>
        <w:t>McCarty-Caplan et al., 2014)</w:t>
      </w:r>
      <w:r w:rsidR="004D1E2A" w:rsidRPr="0071085D">
        <w:rPr>
          <w:rFonts w:eastAsia="Times New Roman"/>
          <w:lang w:val="en-CA" w:eastAsia="fr-CA"/>
        </w:rPr>
        <w:t xml:space="preserve">. </w:t>
      </w:r>
      <w:r w:rsidR="00DA11A6" w:rsidRPr="0071085D">
        <w:rPr>
          <w:rFonts w:eastAsia="Times New Roman"/>
          <w:lang w:val="en-CA" w:eastAsia="fr-CA"/>
        </w:rPr>
        <w:t>To our knowledge, up to now, no study has examined sexual and substance use risk-taking behaviors among</w:t>
      </w:r>
      <w:r w:rsidR="00084031" w:rsidRPr="0071085D">
        <w:rPr>
          <w:rFonts w:eastAsia="Times New Roman"/>
          <w:lang w:val="en-CA" w:eastAsia="fr-CA"/>
        </w:rPr>
        <w:t xml:space="preserve"> both men and women</w:t>
      </w:r>
      <w:r w:rsidR="00DA11A6" w:rsidRPr="0071085D">
        <w:rPr>
          <w:rFonts w:eastAsia="Times New Roman"/>
          <w:lang w:val="en-CA" w:eastAsia="fr-CA"/>
        </w:rPr>
        <w:t xml:space="preserve"> </w:t>
      </w:r>
      <w:r w:rsidR="00084031" w:rsidRPr="0071085D">
        <w:rPr>
          <w:rFonts w:eastAsia="Times New Roman"/>
          <w:lang w:val="en-CA" w:eastAsia="fr-CA"/>
        </w:rPr>
        <w:t xml:space="preserve">emerging adults </w:t>
      </w:r>
      <w:r w:rsidR="00D36577" w:rsidRPr="0071085D">
        <w:rPr>
          <w:rFonts w:eastAsia="Times New Roman"/>
          <w:lang w:val="en-CA" w:eastAsia="fr-CA"/>
        </w:rPr>
        <w:t>in Canada.</w:t>
      </w:r>
    </w:p>
    <w:p w14:paraId="4E12B611" w14:textId="34714BEB" w:rsidR="00EF3E5F" w:rsidRPr="0071085D" w:rsidRDefault="00EF3E5F" w:rsidP="00A571CA">
      <w:pPr>
        <w:widowControl w:val="0"/>
        <w:autoSpaceDE w:val="0"/>
        <w:autoSpaceDN w:val="0"/>
        <w:adjustRightInd w:val="0"/>
        <w:spacing w:after="0" w:line="480" w:lineRule="auto"/>
        <w:rPr>
          <w:b/>
          <w:lang w:val="en-CA"/>
        </w:rPr>
      </w:pPr>
      <w:r w:rsidRPr="0071085D">
        <w:rPr>
          <w:b/>
          <w:lang w:val="en-CA"/>
        </w:rPr>
        <w:t>Study</w:t>
      </w:r>
      <w:r w:rsidR="00E63E0E" w:rsidRPr="0071085D">
        <w:rPr>
          <w:rFonts w:eastAsia="Times New Roman"/>
          <w:b/>
          <w:lang w:val="en-CA" w:eastAsia="fr-CA"/>
        </w:rPr>
        <w:t xml:space="preserve"> Objectives</w:t>
      </w:r>
    </w:p>
    <w:p w14:paraId="56F8B90D" w14:textId="288012AE" w:rsidR="00EB1218" w:rsidRPr="0071085D" w:rsidRDefault="00DC57CE" w:rsidP="00A571CA">
      <w:pPr>
        <w:widowControl w:val="0"/>
        <w:autoSpaceDE w:val="0"/>
        <w:autoSpaceDN w:val="0"/>
        <w:adjustRightInd w:val="0"/>
        <w:spacing w:after="0" w:line="480" w:lineRule="auto"/>
        <w:ind w:firstLine="709"/>
        <w:rPr>
          <w:rFonts w:eastAsia="Times"/>
          <w:lang w:val="en-CA" w:eastAsia="fr-CA"/>
        </w:rPr>
      </w:pPr>
      <w:r w:rsidRPr="0071085D">
        <w:rPr>
          <w:lang w:val="en-CA"/>
        </w:rPr>
        <w:t>This study aims</w:t>
      </w:r>
      <w:r w:rsidR="0034789F" w:rsidRPr="0071085D">
        <w:rPr>
          <w:lang w:val="en-CA"/>
        </w:rPr>
        <w:t xml:space="preserve"> to</w:t>
      </w:r>
      <w:r w:rsidRPr="0071085D">
        <w:rPr>
          <w:lang w:val="en-CA"/>
        </w:rPr>
        <w:t xml:space="preserve"> fill th</w:t>
      </w:r>
      <w:r w:rsidR="0049104A" w:rsidRPr="0071085D">
        <w:rPr>
          <w:lang w:val="en-CA"/>
        </w:rPr>
        <w:t>ese</w:t>
      </w:r>
      <w:r w:rsidRPr="0071085D">
        <w:rPr>
          <w:lang w:val="en-CA"/>
        </w:rPr>
        <w:t xml:space="preserve"> gap</w:t>
      </w:r>
      <w:r w:rsidR="0049104A" w:rsidRPr="0071085D">
        <w:rPr>
          <w:lang w:val="en-CA"/>
        </w:rPr>
        <w:t>s</w:t>
      </w:r>
      <w:r w:rsidRPr="0071085D">
        <w:rPr>
          <w:lang w:val="en-CA"/>
        </w:rPr>
        <w:t xml:space="preserve"> by</w:t>
      </w:r>
      <w:r w:rsidR="0034789F" w:rsidRPr="0071085D">
        <w:rPr>
          <w:lang w:val="en-CA"/>
        </w:rPr>
        <w:t xml:space="preserve">: (1) </w:t>
      </w:r>
      <w:r w:rsidRPr="0071085D">
        <w:rPr>
          <w:lang w:val="en-CA"/>
        </w:rPr>
        <w:t>exploring</w:t>
      </w:r>
      <w:r w:rsidR="007A3F39" w:rsidRPr="0071085D">
        <w:rPr>
          <w:lang w:val="en-CA"/>
        </w:rPr>
        <w:t xml:space="preserve"> </w:t>
      </w:r>
      <w:r w:rsidR="0034789F" w:rsidRPr="0071085D">
        <w:rPr>
          <w:lang w:val="en-CA"/>
        </w:rPr>
        <w:t>patterns of risk</w:t>
      </w:r>
      <w:r w:rsidR="004D1E2A" w:rsidRPr="0071085D">
        <w:rPr>
          <w:lang w:val="en-CA"/>
        </w:rPr>
        <w:t>-taking sexual and substance use</w:t>
      </w:r>
      <w:r w:rsidR="0034789F" w:rsidRPr="0071085D">
        <w:rPr>
          <w:lang w:val="en-CA"/>
        </w:rPr>
        <w:t xml:space="preserve"> behaviors among a sample of </w:t>
      </w:r>
      <w:r w:rsidR="00B106DE" w:rsidRPr="0071085D">
        <w:rPr>
          <w:lang w:val="en-CA"/>
        </w:rPr>
        <w:t>French-</w:t>
      </w:r>
      <w:r w:rsidR="00B106DE" w:rsidRPr="0071085D">
        <w:rPr>
          <w:rFonts w:eastAsia="Times New Roman"/>
          <w:lang w:val="en-CA" w:eastAsia="fr-CA"/>
        </w:rPr>
        <w:t xml:space="preserve">Canadian </w:t>
      </w:r>
      <w:r w:rsidR="00EB1218" w:rsidRPr="0071085D">
        <w:rPr>
          <w:lang w:val="en-CA"/>
        </w:rPr>
        <w:t xml:space="preserve">heterosexual </w:t>
      </w:r>
      <w:r w:rsidR="0034789F" w:rsidRPr="0071085D">
        <w:rPr>
          <w:lang w:val="en-CA"/>
        </w:rPr>
        <w:t>emerging adults</w:t>
      </w:r>
      <w:r w:rsidR="0049104A" w:rsidRPr="0071085D">
        <w:rPr>
          <w:lang w:val="en-CA"/>
        </w:rPr>
        <w:t>,</w:t>
      </w:r>
      <w:r w:rsidR="000F0620" w:rsidRPr="0071085D">
        <w:rPr>
          <w:lang w:val="en-CA"/>
        </w:rPr>
        <w:t xml:space="preserve"> to identify whether these </w:t>
      </w:r>
      <w:r w:rsidR="001D09B0" w:rsidRPr="0071085D">
        <w:rPr>
          <w:lang w:val="en-CA"/>
        </w:rPr>
        <w:t>risk-taking</w:t>
      </w:r>
      <w:r w:rsidR="00E067DA" w:rsidRPr="0071085D">
        <w:rPr>
          <w:lang w:val="en-CA"/>
        </w:rPr>
        <w:t xml:space="preserve"> behaviors</w:t>
      </w:r>
      <w:r w:rsidR="000F0620" w:rsidRPr="0071085D">
        <w:rPr>
          <w:lang w:val="en-CA"/>
        </w:rPr>
        <w:t xml:space="preserve"> </w:t>
      </w:r>
      <w:r w:rsidR="00EF288B" w:rsidRPr="0071085D">
        <w:rPr>
          <w:lang w:val="en-CA"/>
        </w:rPr>
        <w:t xml:space="preserve">(i.e., early sexual onset, </w:t>
      </w:r>
      <w:r w:rsidR="0049104A" w:rsidRPr="0071085D">
        <w:rPr>
          <w:lang w:val="en-CA"/>
        </w:rPr>
        <w:t xml:space="preserve">lifetime </w:t>
      </w:r>
      <w:r w:rsidR="00EF288B" w:rsidRPr="0071085D">
        <w:rPr>
          <w:lang w:val="en-CA"/>
        </w:rPr>
        <w:t xml:space="preserve">number of sexual partners, inconsistent condom use, </w:t>
      </w:r>
      <w:r w:rsidR="005A3BFC" w:rsidRPr="0071085D">
        <w:rPr>
          <w:lang w:val="en-CA"/>
        </w:rPr>
        <w:t>unconventional sexual behaviors</w:t>
      </w:r>
      <w:r w:rsidR="00EF288B" w:rsidRPr="0071085D">
        <w:rPr>
          <w:lang w:val="en-CA"/>
        </w:rPr>
        <w:t xml:space="preserve">, </w:t>
      </w:r>
      <w:r w:rsidR="00FC09A0" w:rsidRPr="0071085D">
        <w:rPr>
          <w:lang w:val="en-CA"/>
        </w:rPr>
        <w:t>binge drinking</w:t>
      </w:r>
      <w:r w:rsidR="0049104A" w:rsidRPr="0071085D">
        <w:rPr>
          <w:lang w:val="en-CA"/>
        </w:rPr>
        <w:t>,</w:t>
      </w:r>
      <w:r w:rsidR="00EF288B" w:rsidRPr="0071085D">
        <w:rPr>
          <w:lang w:val="en-CA"/>
        </w:rPr>
        <w:t xml:space="preserve"> and polysubstance use) </w:t>
      </w:r>
      <w:r w:rsidR="000F0620" w:rsidRPr="0071085D">
        <w:rPr>
          <w:lang w:val="en-CA"/>
        </w:rPr>
        <w:t>cluster into profiles; (2</w:t>
      </w:r>
      <w:r w:rsidR="00C17169" w:rsidRPr="0071085D">
        <w:rPr>
          <w:lang w:val="en-CA"/>
        </w:rPr>
        <w:t>)</w:t>
      </w:r>
      <w:r w:rsidR="0034789F" w:rsidRPr="0071085D">
        <w:rPr>
          <w:lang w:val="en-CA"/>
        </w:rPr>
        <w:t xml:space="preserve"> </w:t>
      </w:r>
      <w:r w:rsidRPr="0071085D">
        <w:rPr>
          <w:lang w:val="en-CA"/>
        </w:rPr>
        <w:t>examining</w:t>
      </w:r>
      <w:r w:rsidR="00C17169" w:rsidRPr="0071085D">
        <w:rPr>
          <w:lang w:val="en-CA"/>
        </w:rPr>
        <w:t xml:space="preserve"> whether sociodemographic and individual characteristics </w:t>
      </w:r>
      <w:r w:rsidR="00373746" w:rsidRPr="0071085D">
        <w:rPr>
          <w:lang w:val="en-CA"/>
        </w:rPr>
        <w:t>previously</w:t>
      </w:r>
      <w:r w:rsidR="00C17169" w:rsidRPr="0071085D">
        <w:rPr>
          <w:lang w:val="en-CA"/>
        </w:rPr>
        <w:t xml:space="preserve"> associated </w:t>
      </w:r>
      <w:r w:rsidR="0049104A" w:rsidRPr="0071085D">
        <w:rPr>
          <w:lang w:val="en-CA"/>
        </w:rPr>
        <w:t xml:space="preserve">with </w:t>
      </w:r>
      <w:r w:rsidR="00C17169" w:rsidRPr="0071085D">
        <w:rPr>
          <w:lang w:val="en-CA"/>
        </w:rPr>
        <w:t>risk-taking</w:t>
      </w:r>
      <w:r w:rsidR="00373746" w:rsidRPr="0071085D">
        <w:rPr>
          <w:lang w:val="en-CA"/>
        </w:rPr>
        <w:t xml:space="preserve"> </w:t>
      </w:r>
      <w:r w:rsidR="00C17169" w:rsidRPr="0071085D">
        <w:rPr>
          <w:lang w:val="en-CA"/>
        </w:rPr>
        <w:t>(e.g., impulsive sensation</w:t>
      </w:r>
      <w:r w:rsidR="00D12F81" w:rsidRPr="0071085D">
        <w:rPr>
          <w:lang w:val="en-CA"/>
        </w:rPr>
        <w:t>-</w:t>
      </w:r>
      <w:r w:rsidR="00C17169" w:rsidRPr="0071085D">
        <w:rPr>
          <w:lang w:val="en-CA"/>
        </w:rPr>
        <w:t xml:space="preserve">seeking, </w:t>
      </w:r>
      <w:r w:rsidR="0049104A" w:rsidRPr="0071085D">
        <w:rPr>
          <w:lang w:val="en-CA"/>
        </w:rPr>
        <w:t xml:space="preserve">and low </w:t>
      </w:r>
      <w:r w:rsidR="00C17169" w:rsidRPr="0071085D">
        <w:rPr>
          <w:lang w:val="en-CA"/>
        </w:rPr>
        <w:t>self-esteem</w:t>
      </w:r>
      <w:r w:rsidR="0049104A" w:rsidRPr="0071085D">
        <w:rPr>
          <w:lang w:val="en-CA"/>
        </w:rPr>
        <w:t xml:space="preserve"> and</w:t>
      </w:r>
      <w:r w:rsidR="00C17169" w:rsidRPr="0071085D">
        <w:rPr>
          <w:lang w:val="en-CA"/>
        </w:rPr>
        <w:t xml:space="preserve"> life satisfaction) predict risk-taking profiles; </w:t>
      </w:r>
      <w:r w:rsidR="0049104A" w:rsidRPr="0071085D">
        <w:rPr>
          <w:lang w:val="en-CA"/>
        </w:rPr>
        <w:t xml:space="preserve">and </w:t>
      </w:r>
      <w:r w:rsidR="00C17169" w:rsidRPr="0071085D">
        <w:rPr>
          <w:lang w:val="en-CA"/>
        </w:rPr>
        <w:t>(3) assess</w:t>
      </w:r>
      <w:r w:rsidRPr="0071085D">
        <w:rPr>
          <w:lang w:val="en-CA"/>
        </w:rPr>
        <w:t>ing</w:t>
      </w:r>
      <w:r w:rsidR="00C17169" w:rsidRPr="0071085D">
        <w:rPr>
          <w:lang w:val="en-CA"/>
        </w:rPr>
        <w:t xml:space="preserve"> whether risk-taking profiles predict </w:t>
      </w:r>
      <w:r w:rsidR="00022E9C" w:rsidRPr="0071085D">
        <w:rPr>
          <w:lang w:val="en-CA"/>
        </w:rPr>
        <w:t xml:space="preserve">health </w:t>
      </w:r>
      <w:r w:rsidR="00C17169" w:rsidRPr="0071085D">
        <w:rPr>
          <w:lang w:val="en-CA"/>
        </w:rPr>
        <w:t xml:space="preserve">outcomes (i.e. </w:t>
      </w:r>
      <w:r w:rsidR="00015C05" w:rsidRPr="0071085D">
        <w:rPr>
          <w:lang w:val="en-CA"/>
        </w:rPr>
        <w:t xml:space="preserve">history of STI testing and </w:t>
      </w:r>
      <w:r w:rsidR="00090F31" w:rsidRPr="0071085D">
        <w:rPr>
          <w:lang w:val="en-CA"/>
        </w:rPr>
        <w:t xml:space="preserve">diagnosis, </w:t>
      </w:r>
      <w:r w:rsidR="0049104A" w:rsidRPr="0071085D">
        <w:rPr>
          <w:lang w:val="en-CA"/>
        </w:rPr>
        <w:t xml:space="preserve">and </w:t>
      </w:r>
      <w:r w:rsidR="00090F31" w:rsidRPr="0071085D">
        <w:rPr>
          <w:lang w:val="en-CA"/>
        </w:rPr>
        <w:t>substance use</w:t>
      </w:r>
      <w:r w:rsidR="00C17169" w:rsidRPr="0071085D">
        <w:rPr>
          <w:lang w:val="en-CA"/>
        </w:rPr>
        <w:t xml:space="preserve"> problem</w:t>
      </w:r>
      <w:r w:rsidR="00090F31" w:rsidRPr="0071085D">
        <w:rPr>
          <w:lang w:val="en-CA"/>
        </w:rPr>
        <w:t>s</w:t>
      </w:r>
      <w:r w:rsidR="00C17169" w:rsidRPr="0071085D">
        <w:rPr>
          <w:lang w:val="en-CA"/>
        </w:rPr>
        <w:t>).</w:t>
      </w:r>
    </w:p>
    <w:p w14:paraId="05A7C781" w14:textId="0C5293B2" w:rsidR="00816903" w:rsidRPr="0071085D" w:rsidRDefault="005416DC" w:rsidP="00A571CA">
      <w:pPr>
        <w:widowControl w:val="0"/>
        <w:autoSpaceDE w:val="0"/>
        <w:autoSpaceDN w:val="0"/>
        <w:adjustRightInd w:val="0"/>
        <w:spacing w:after="0" w:line="480" w:lineRule="auto"/>
        <w:contextualSpacing/>
        <w:jc w:val="center"/>
        <w:rPr>
          <w:b/>
          <w:lang w:val="en-CA"/>
        </w:rPr>
      </w:pPr>
      <w:r w:rsidRPr="0071085D">
        <w:rPr>
          <w:b/>
          <w:lang w:val="en-CA"/>
        </w:rPr>
        <w:t>Method</w:t>
      </w:r>
      <w:r w:rsidR="00210EDD" w:rsidRPr="0071085D">
        <w:rPr>
          <w:b/>
          <w:lang w:val="en-CA"/>
        </w:rPr>
        <w:t>s</w:t>
      </w:r>
    </w:p>
    <w:p w14:paraId="5FE5B88E" w14:textId="0A81BD63" w:rsidR="00452E06" w:rsidRPr="0071085D" w:rsidRDefault="00F74FD7" w:rsidP="00E0473E">
      <w:pPr>
        <w:spacing w:after="0" w:line="480" w:lineRule="auto"/>
        <w:contextualSpacing/>
        <w:rPr>
          <w:b/>
          <w:lang w:val="en-CA"/>
        </w:rPr>
      </w:pPr>
      <w:r w:rsidRPr="0071085D">
        <w:rPr>
          <w:b/>
          <w:lang w:val="en-CA"/>
        </w:rPr>
        <w:t>Procedure</w:t>
      </w:r>
      <w:r w:rsidR="0015416A" w:rsidRPr="0071085D">
        <w:rPr>
          <w:b/>
          <w:lang w:val="en-CA"/>
        </w:rPr>
        <w:t xml:space="preserve"> </w:t>
      </w:r>
    </w:p>
    <w:p w14:paraId="4701FBAC" w14:textId="4D1541BE" w:rsidR="003561ED" w:rsidRPr="0071085D" w:rsidRDefault="00F32F50" w:rsidP="00447603">
      <w:pPr>
        <w:pStyle w:val="Default"/>
        <w:spacing w:line="480" w:lineRule="auto"/>
        <w:ind w:firstLine="709"/>
        <w:rPr>
          <w:rStyle w:val="NotedebasdepageCar"/>
          <w:rFonts w:eastAsia="Times"/>
          <w:sz w:val="24"/>
          <w:szCs w:val="24"/>
          <w:lang w:val="en-CA"/>
        </w:rPr>
      </w:pPr>
      <w:r w:rsidRPr="0071085D">
        <w:rPr>
          <w:rFonts w:ascii="Times New Roman" w:hAnsi="Times New Roman" w:cs="Times New Roman"/>
          <w:lang w:val="en-CA"/>
        </w:rPr>
        <w:t xml:space="preserve">After institutional ethical approval, </w:t>
      </w:r>
      <w:r w:rsidR="00FA031B" w:rsidRPr="0071085D">
        <w:rPr>
          <w:rFonts w:ascii="Times New Roman" w:hAnsi="Times New Roman" w:cs="Times New Roman"/>
          <w:lang w:val="en-CA"/>
        </w:rPr>
        <w:t>participants were</w:t>
      </w:r>
      <w:r w:rsidR="00B75CDE" w:rsidRPr="0071085D">
        <w:rPr>
          <w:rFonts w:ascii="Times New Roman" w:hAnsi="Times New Roman" w:cs="Times New Roman"/>
          <w:lang w:val="en-CA"/>
        </w:rPr>
        <w:t xml:space="preserve"> recruited through social media</w:t>
      </w:r>
      <w:r w:rsidR="000B0041" w:rsidRPr="0071085D">
        <w:rPr>
          <w:rFonts w:ascii="Times New Roman" w:hAnsi="Times New Roman" w:cs="Times New Roman"/>
          <w:lang w:val="en-CA"/>
        </w:rPr>
        <w:t>,</w:t>
      </w:r>
      <w:r w:rsidR="003561ED" w:rsidRPr="0071085D">
        <w:rPr>
          <w:rFonts w:ascii="Times New Roman" w:hAnsi="Times New Roman" w:cs="Times New Roman"/>
          <w:lang w:val="en-CA"/>
        </w:rPr>
        <w:t xml:space="preserve"> </w:t>
      </w:r>
      <w:r w:rsidR="002C3841" w:rsidRPr="0071085D">
        <w:rPr>
          <w:rFonts w:ascii="Times New Roman" w:hAnsi="Times New Roman" w:cs="Times New Roman"/>
          <w:lang w:val="en-CA"/>
        </w:rPr>
        <w:t xml:space="preserve">in </w:t>
      </w:r>
      <w:r w:rsidR="000B0041" w:rsidRPr="0071085D">
        <w:rPr>
          <w:rStyle w:val="NotedebasdepageCar"/>
          <w:rFonts w:eastAsia="Times"/>
          <w:sz w:val="24"/>
          <w:szCs w:val="24"/>
          <w:lang w:val="en-CA"/>
        </w:rPr>
        <w:t xml:space="preserve">bars, gyms, </w:t>
      </w:r>
      <w:r w:rsidR="002C3841" w:rsidRPr="0071085D">
        <w:rPr>
          <w:rStyle w:val="NotedebasdepageCar"/>
          <w:rFonts w:eastAsia="Times"/>
          <w:sz w:val="24"/>
          <w:szCs w:val="24"/>
          <w:lang w:val="en-CA"/>
        </w:rPr>
        <w:t xml:space="preserve">via </w:t>
      </w:r>
      <w:r w:rsidR="002A3883" w:rsidRPr="0071085D">
        <w:rPr>
          <w:rStyle w:val="NotedebasdepageCar"/>
          <w:rFonts w:eastAsia="Times"/>
          <w:sz w:val="24"/>
          <w:szCs w:val="24"/>
          <w:lang w:val="en-CA"/>
        </w:rPr>
        <w:t>C</w:t>
      </w:r>
      <w:r w:rsidR="003561ED" w:rsidRPr="0071085D">
        <w:rPr>
          <w:rStyle w:val="NotedebasdepageCar"/>
          <w:rFonts w:eastAsia="Times"/>
          <w:sz w:val="24"/>
          <w:szCs w:val="24"/>
          <w:lang w:val="en-CA"/>
        </w:rPr>
        <w:t xml:space="preserve">ollege and </w:t>
      </w:r>
      <w:r w:rsidR="002A3883" w:rsidRPr="0071085D">
        <w:rPr>
          <w:rStyle w:val="NotedebasdepageCar"/>
          <w:rFonts w:eastAsia="Times"/>
          <w:sz w:val="24"/>
          <w:szCs w:val="24"/>
          <w:lang w:val="en-CA"/>
        </w:rPr>
        <w:t>U</w:t>
      </w:r>
      <w:r w:rsidR="003561ED" w:rsidRPr="0071085D">
        <w:rPr>
          <w:rStyle w:val="NotedebasdepageCar"/>
          <w:rFonts w:eastAsia="Times"/>
          <w:sz w:val="24"/>
          <w:szCs w:val="24"/>
          <w:lang w:val="en-CA"/>
        </w:rPr>
        <w:t>niversities’ post boards</w:t>
      </w:r>
      <w:r w:rsidR="002C3841" w:rsidRPr="0071085D">
        <w:rPr>
          <w:rStyle w:val="NotedebasdepageCar"/>
          <w:rFonts w:eastAsia="Times"/>
          <w:sz w:val="24"/>
          <w:szCs w:val="24"/>
          <w:lang w:val="en-CA"/>
        </w:rPr>
        <w:t xml:space="preserve"> and </w:t>
      </w:r>
      <w:r w:rsidR="00FA031B" w:rsidRPr="0071085D">
        <w:rPr>
          <w:rStyle w:val="NotedebasdepageCar"/>
          <w:rFonts w:eastAsia="Times"/>
          <w:sz w:val="24"/>
          <w:szCs w:val="24"/>
          <w:lang w:val="en-CA"/>
        </w:rPr>
        <w:t>mailing lists</w:t>
      </w:r>
      <w:r w:rsidR="002C3841" w:rsidRPr="0071085D">
        <w:rPr>
          <w:rStyle w:val="NotedebasdepageCar"/>
          <w:rFonts w:eastAsia="Times"/>
          <w:sz w:val="24"/>
          <w:szCs w:val="24"/>
          <w:lang w:val="en-CA"/>
        </w:rPr>
        <w:t>,</w:t>
      </w:r>
      <w:r w:rsidR="00FA031B" w:rsidRPr="0071085D">
        <w:rPr>
          <w:rStyle w:val="NotedebasdepageCar"/>
          <w:rFonts w:eastAsia="Times"/>
          <w:sz w:val="24"/>
          <w:szCs w:val="24"/>
          <w:lang w:val="en-CA"/>
        </w:rPr>
        <w:t xml:space="preserve"> and </w:t>
      </w:r>
      <w:r w:rsidR="002C3841" w:rsidRPr="0071085D">
        <w:rPr>
          <w:rStyle w:val="NotedebasdepageCar"/>
          <w:rFonts w:eastAsia="Times"/>
          <w:sz w:val="24"/>
          <w:szCs w:val="24"/>
          <w:lang w:val="en-CA"/>
        </w:rPr>
        <w:t>through</w:t>
      </w:r>
      <w:r w:rsidR="00FA031B" w:rsidRPr="0071085D">
        <w:rPr>
          <w:rStyle w:val="NotedebasdepageCar"/>
          <w:rFonts w:eastAsia="Times"/>
          <w:sz w:val="24"/>
          <w:szCs w:val="24"/>
          <w:lang w:val="en-CA"/>
        </w:rPr>
        <w:t xml:space="preserve"> snowballing</w:t>
      </w:r>
      <w:r w:rsidR="00E475B4" w:rsidRPr="0071085D">
        <w:rPr>
          <w:rStyle w:val="NotedebasdepageCar"/>
          <w:rFonts w:eastAsia="Times"/>
          <w:sz w:val="24"/>
          <w:szCs w:val="24"/>
          <w:lang w:val="en-CA"/>
        </w:rPr>
        <w:t xml:space="preserve"> to complete an online survey through </w:t>
      </w:r>
      <w:proofErr w:type="spellStart"/>
      <w:r w:rsidRPr="0071085D">
        <w:rPr>
          <w:rFonts w:ascii="Times New Roman" w:hAnsi="Times New Roman" w:cs="Times New Roman"/>
          <w:i/>
          <w:lang w:val="en-CA"/>
        </w:rPr>
        <w:t>LimeSurvey</w:t>
      </w:r>
      <w:proofErr w:type="spellEnd"/>
      <w:r w:rsidR="00E475B4" w:rsidRPr="0071085D">
        <w:rPr>
          <w:rFonts w:ascii="Times New Roman" w:hAnsi="Times New Roman" w:cs="Times New Roman"/>
          <w:i/>
          <w:lang w:val="en-CA"/>
        </w:rPr>
        <w:t xml:space="preserve">. </w:t>
      </w:r>
      <w:r w:rsidR="00E475B4" w:rsidRPr="0071085D">
        <w:rPr>
          <w:rFonts w:ascii="Times New Roman" w:hAnsi="Times New Roman" w:cs="Times New Roman"/>
          <w:lang w:val="en-CA"/>
        </w:rPr>
        <w:t>The</w:t>
      </w:r>
      <w:r w:rsidRPr="0071085D">
        <w:rPr>
          <w:rFonts w:ascii="Times New Roman" w:hAnsi="Times New Roman" w:cs="Times New Roman"/>
          <w:lang w:val="en-CA"/>
        </w:rPr>
        <w:t xml:space="preserve"> </w:t>
      </w:r>
      <w:r w:rsidR="00FA031B" w:rsidRPr="0071085D">
        <w:rPr>
          <w:rFonts w:ascii="Times New Roman" w:hAnsi="Times New Roman" w:cs="Times New Roman"/>
          <w:lang w:val="en-CA"/>
        </w:rPr>
        <w:t xml:space="preserve">questionnaire </w:t>
      </w:r>
      <w:r w:rsidRPr="0071085D">
        <w:rPr>
          <w:rFonts w:ascii="Times New Roman" w:hAnsi="Times New Roman" w:cs="Times New Roman"/>
          <w:lang w:val="en-CA"/>
        </w:rPr>
        <w:t>was hosted on the University network server</w:t>
      </w:r>
      <w:r w:rsidR="002C3841" w:rsidRPr="0071085D">
        <w:rPr>
          <w:rFonts w:ascii="Times New Roman" w:hAnsi="Times New Roman" w:cs="Times New Roman"/>
          <w:lang w:val="en-CA"/>
        </w:rPr>
        <w:t>,</w:t>
      </w:r>
      <w:r w:rsidR="00E475B4" w:rsidRPr="0071085D">
        <w:rPr>
          <w:rFonts w:ascii="Times New Roman" w:hAnsi="Times New Roman" w:cs="Times New Roman"/>
          <w:lang w:val="en-CA"/>
        </w:rPr>
        <w:t xml:space="preserve"> and its</w:t>
      </w:r>
      <w:r w:rsidR="00A53A6A" w:rsidRPr="0071085D">
        <w:rPr>
          <w:rFonts w:ascii="Times New Roman" w:hAnsi="Times New Roman" w:cs="Times New Roman"/>
          <w:lang w:val="en-CA"/>
        </w:rPr>
        <w:t xml:space="preserve"> completion took</w:t>
      </w:r>
      <w:r w:rsidR="00192505" w:rsidRPr="0071085D">
        <w:rPr>
          <w:rFonts w:ascii="Times New Roman" w:hAnsi="Times New Roman" w:cs="Times New Roman"/>
          <w:lang w:val="en-CA"/>
        </w:rPr>
        <w:t xml:space="preserve"> approximately</w:t>
      </w:r>
      <w:r w:rsidR="00A53A6A" w:rsidRPr="0071085D">
        <w:rPr>
          <w:rFonts w:ascii="Times New Roman" w:hAnsi="Times New Roman" w:cs="Times New Roman"/>
          <w:lang w:val="en-CA"/>
        </w:rPr>
        <w:t xml:space="preserve"> 4</w:t>
      </w:r>
      <w:r w:rsidR="0048509F" w:rsidRPr="0071085D">
        <w:rPr>
          <w:rFonts w:ascii="Times New Roman" w:hAnsi="Times New Roman" w:cs="Times New Roman"/>
          <w:lang w:val="en-CA"/>
        </w:rPr>
        <w:t>0</w:t>
      </w:r>
      <w:r w:rsidR="00A53A6A" w:rsidRPr="0071085D">
        <w:rPr>
          <w:rFonts w:ascii="Times New Roman" w:hAnsi="Times New Roman" w:cs="Times New Roman"/>
          <w:lang w:val="en-CA"/>
        </w:rPr>
        <w:t xml:space="preserve"> minutes.</w:t>
      </w:r>
      <w:r w:rsidR="00A53A6A" w:rsidRPr="0071085D">
        <w:rPr>
          <w:rStyle w:val="NotedebasdepageCar"/>
          <w:rFonts w:eastAsia="Times"/>
          <w:sz w:val="24"/>
          <w:szCs w:val="24"/>
          <w:lang w:val="en-CA"/>
        </w:rPr>
        <w:t xml:space="preserve"> Each participant completing the entire questionnaire </w:t>
      </w:r>
      <w:r w:rsidR="005C4EBC" w:rsidRPr="0071085D">
        <w:rPr>
          <w:rStyle w:val="NotedebasdepageCar"/>
          <w:rFonts w:eastAsia="Times"/>
          <w:sz w:val="24"/>
          <w:szCs w:val="24"/>
          <w:lang w:val="en-CA"/>
        </w:rPr>
        <w:t>was</w:t>
      </w:r>
      <w:r w:rsidR="002C3841" w:rsidRPr="0071085D">
        <w:rPr>
          <w:rStyle w:val="NotedebasdepageCar"/>
          <w:rFonts w:eastAsia="Times"/>
          <w:sz w:val="24"/>
          <w:szCs w:val="24"/>
          <w:lang w:val="en-CA"/>
        </w:rPr>
        <w:t xml:space="preserve"> </w:t>
      </w:r>
      <w:r w:rsidR="00B233E0" w:rsidRPr="0071085D">
        <w:rPr>
          <w:rStyle w:val="NotedebasdepageCar"/>
          <w:rFonts w:eastAsia="Times"/>
          <w:sz w:val="24"/>
          <w:szCs w:val="24"/>
          <w:lang w:val="en-CA"/>
        </w:rPr>
        <w:t>entered</w:t>
      </w:r>
      <w:r w:rsidR="002C3841" w:rsidRPr="0071085D">
        <w:rPr>
          <w:rStyle w:val="NotedebasdepageCar"/>
          <w:rFonts w:eastAsia="Times"/>
          <w:sz w:val="24"/>
          <w:szCs w:val="24"/>
          <w:lang w:val="en-CA"/>
        </w:rPr>
        <w:t xml:space="preserve"> a draw</w:t>
      </w:r>
      <w:r w:rsidR="00A53A6A" w:rsidRPr="0071085D">
        <w:rPr>
          <w:rStyle w:val="NotedebasdepageCar"/>
          <w:rFonts w:eastAsia="Times"/>
          <w:sz w:val="24"/>
          <w:szCs w:val="24"/>
          <w:lang w:val="en-CA"/>
        </w:rPr>
        <w:t xml:space="preserve"> to win </w:t>
      </w:r>
      <w:r w:rsidR="00AB07EE" w:rsidRPr="0071085D">
        <w:rPr>
          <w:rStyle w:val="NotedebasdepageCar"/>
          <w:rFonts w:eastAsia="Times"/>
          <w:sz w:val="24"/>
          <w:szCs w:val="24"/>
          <w:lang w:val="en-CA"/>
        </w:rPr>
        <w:t xml:space="preserve">one out of three </w:t>
      </w:r>
      <w:r w:rsidR="00A53A6A" w:rsidRPr="0071085D">
        <w:rPr>
          <w:rStyle w:val="NotedebasdepageCar"/>
          <w:rFonts w:eastAsia="Times"/>
          <w:sz w:val="24"/>
          <w:szCs w:val="24"/>
          <w:lang w:val="en-CA"/>
        </w:rPr>
        <w:t>pri</w:t>
      </w:r>
      <w:r w:rsidR="002C3841" w:rsidRPr="0071085D">
        <w:rPr>
          <w:rStyle w:val="NotedebasdepageCar"/>
          <w:rFonts w:eastAsia="Times"/>
          <w:sz w:val="24"/>
          <w:szCs w:val="24"/>
          <w:lang w:val="en-CA"/>
        </w:rPr>
        <w:t>z</w:t>
      </w:r>
      <w:r w:rsidR="00A53A6A" w:rsidRPr="0071085D">
        <w:rPr>
          <w:rStyle w:val="NotedebasdepageCar"/>
          <w:rFonts w:eastAsia="Times"/>
          <w:sz w:val="24"/>
          <w:szCs w:val="24"/>
          <w:lang w:val="en-CA"/>
        </w:rPr>
        <w:t>e</w:t>
      </w:r>
      <w:r w:rsidR="00AB07EE" w:rsidRPr="0071085D">
        <w:rPr>
          <w:rStyle w:val="NotedebasdepageCar"/>
          <w:rFonts w:eastAsia="Times"/>
          <w:sz w:val="24"/>
          <w:szCs w:val="24"/>
          <w:lang w:val="en-CA"/>
        </w:rPr>
        <w:t>s</w:t>
      </w:r>
      <w:r w:rsidR="00B233E0" w:rsidRPr="0071085D">
        <w:rPr>
          <w:rStyle w:val="NotedebasdepageCar"/>
          <w:rFonts w:eastAsia="Times"/>
          <w:sz w:val="24"/>
          <w:szCs w:val="24"/>
          <w:lang w:val="en-CA"/>
        </w:rPr>
        <w:t xml:space="preserve"> (one </w:t>
      </w:r>
      <w:r w:rsidR="000B21B5" w:rsidRPr="0071085D">
        <w:rPr>
          <w:rStyle w:val="NotedebasdepageCar"/>
          <w:rFonts w:eastAsia="Times"/>
          <w:sz w:val="24"/>
          <w:szCs w:val="24"/>
          <w:lang w:val="en-CA"/>
        </w:rPr>
        <w:t>i</w:t>
      </w:r>
      <w:r w:rsidR="00B233E0" w:rsidRPr="0071085D">
        <w:rPr>
          <w:rStyle w:val="NotedebasdepageCar"/>
          <w:rFonts w:eastAsia="Times"/>
          <w:sz w:val="24"/>
          <w:szCs w:val="24"/>
          <w:lang w:val="en-CA"/>
        </w:rPr>
        <w:t>Pad mini and two certificates to a sports’ shop).</w:t>
      </w:r>
      <w:r w:rsidR="007A1959" w:rsidRPr="0071085D">
        <w:rPr>
          <w:rStyle w:val="NotedebasdepageCar"/>
          <w:rFonts w:eastAsia="Times"/>
          <w:sz w:val="24"/>
          <w:szCs w:val="24"/>
          <w:lang w:val="en-CA"/>
        </w:rPr>
        <w:t xml:space="preserve"> </w:t>
      </w:r>
      <w:r w:rsidR="007A1959" w:rsidRPr="0071085D">
        <w:rPr>
          <w:rFonts w:ascii="Times New Roman" w:hAnsi="Times New Roman" w:cs="Times New Roman"/>
          <w:lang w:val="en-CA"/>
        </w:rPr>
        <w:t xml:space="preserve">Participants were first presented with the </w:t>
      </w:r>
      <w:r w:rsidR="0075750E" w:rsidRPr="0071085D">
        <w:rPr>
          <w:rFonts w:ascii="Times New Roman" w:hAnsi="Times New Roman" w:cs="Times New Roman"/>
          <w:lang w:val="en-CA"/>
        </w:rPr>
        <w:t xml:space="preserve">electronic </w:t>
      </w:r>
      <w:r w:rsidR="007A1959" w:rsidRPr="0071085D">
        <w:rPr>
          <w:rFonts w:ascii="Times New Roman" w:hAnsi="Times New Roman" w:cs="Times New Roman"/>
          <w:lang w:val="en-CA"/>
        </w:rPr>
        <w:t>consent form, which also included a list of various help resources</w:t>
      </w:r>
      <w:r w:rsidR="00D6425A" w:rsidRPr="0071085D">
        <w:rPr>
          <w:rFonts w:ascii="Times New Roman" w:hAnsi="Times New Roman" w:cs="Times New Roman"/>
          <w:lang w:val="en-CA"/>
        </w:rPr>
        <w:t xml:space="preserve">, including sexual health </w:t>
      </w:r>
      <w:r w:rsidR="00D6425A" w:rsidRPr="0071085D">
        <w:rPr>
          <w:rFonts w:ascii="Times New Roman" w:hAnsi="Times New Roman" w:cs="Times New Roman"/>
          <w:lang w:val="en-CA"/>
        </w:rPr>
        <w:lastRenderedPageBreak/>
        <w:t>organizations and substance use helplines</w:t>
      </w:r>
      <w:r w:rsidR="007A1959" w:rsidRPr="0071085D">
        <w:rPr>
          <w:rFonts w:ascii="Times New Roman" w:hAnsi="Times New Roman" w:cs="Times New Roman"/>
          <w:lang w:val="en-CA"/>
        </w:rPr>
        <w:t>.</w:t>
      </w:r>
      <w:r w:rsidR="0075750E" w:rsidRPr="0071085D">
        <w:rPr>
          <w:rFonts w:ascii="Times New Roman" w:hAnsi="Times New Roman" w:cs="Times New Roman"/>
          <w:lang w:val="en-CA"/>
        </w:rPr>
        <w:t xml:space="preserve"> Once they provided consent, they </w:t>
      </w:r>
      <w:r w:rsidR="00B5761E" w:rsidRPr="0071085D">
        <w:rPr>
          <w:rFonts w:ascii="Times New Roman" w:hAnsi="Times New Roman" w:cs="Times New Roman"/>
          <w:lang w:val="en-CA"/>
        </w:rPr>
        <w:t>were encouraged to download a copy of the consent form and of the resources before starting to comple</w:t>
      </w:r>
      <w:r w:rsidR="00D6425A" w:rsidRPr="0071085D">
        <w:rPr>
          <w:rFonts w:ascii="Times New Roman" w:hAnsi="Times New Roman" w:cs="Times New Roman"/>
          <w:lang w:val="en-CA"/>
        </w:rPr>
        <w:t>te</w:t>
      </w:r>
      <w:r w:rsidR="00B5761E" w:rsidRPr="0071085D">
        <w:rPr>
          <w:rFonts w:ascii="Times New Roman" w:hAnsi="Times New Roman" w:cs="Times New Roman"/>
          <w:lang w:val="en-CA"/>
        </w:rPr>
        <w:t xml:space="preserve"> the questionnaire.</w:t>
      </w:r>
      <w:r w:rsidR="00FB0F1A" w:rsidRPr="0071085D">
        <w:rPr>
          <w:rFonts w:ascii="Times New Roman" w:hAnsi="Times New Roman" w:cs="Times New Roman"/>
          <w:lang w:val="en-CA"/>
        </w:rPr>
        <w:t xml:space="preserve"> </w:t>
      </w:r>
      <w:r w:rsidR="00D6425A" w:rsidRPr="0071085D">
        <w:rPr>
          <w:rFonts w:ascii="Times New Roman" w:hAnsi="Times New Roman" w:cs="Times New Roman"/>
          <w:lang w:val="en-CA"/>
        </w:rPr>
        <w:t>Each participant was assigned a number</w:t>
      </w:r>
      <w:r w:rsidR="000B056D" w:rsidRPr="0071085D">
        <w:rPr>
          <w:rFonts w:ascii="Times New Roman" w:hAnsi="Times New Roman" w:cs="Times New Roman"/>
          <w:lang w:val="en-CA"/>
        </w:rPr>
        <w:t xml:space="preserve"> in the dataset</w:t>
      </w:r>
      <w:r w:rsidR="00447603" w:rsidRPr="0071085D">
        <w:rPr>
          <w:rFonts w:ascii="Times New Roman" w:hAnsi="Times New Roman" w:cs="Times New Roman"/>
          <w:lang w:val="en-CA"/>
        </w:rPr>
        <w:t>.</w:t>
      </w:r>
      <w:r w:rsidR="00D6425A" w:rsidRPr="0071085D">
        <w:rPr>
          <w:rFonts w:ascii="Times New Roman" w:hAnsi="Times New Roman" w:cs="Times New Roman"/>
          <w:lang w:val="en-CA"/>
        </w:rPr>
        <w:t xml:space="preserve"> </w:t>
      </w:r>
      <w:r w:rsidR="00447603" w:rsidRPr="0071085D">
        <w:rPr>
          <w:rFonts w:ascii="Times New Roman" w:hAnsi="Times New Roman" w:cs="Times New Roman"/>
          <w:lang w:val="en-CA"/>
        </w:rPr>
        <w:t>Participants</w:t>
      </w:r>
      <w:r w:rsidR="00E0473E" w:rsidRPr="0071085D">
        <w:rPr>
          <w:rFonts w:ascii="Times New Roman" w:hAnsi="Times New Roman" w:cs="Times New Roman"/>
          <w:lang w:val="en-CA"/>
        </w:rPr>
        <w:t xml:space="preserve"> entered their month and year of birth and were denied access to the questionnaire if they were less than 18 years old. </w:t>
      </w:r>
    </w:p>
    <w:p w14:paraId="34E36DA8" w14:textId="63950B07" w:rsidR="00452E06" w:rsidRPr="0071085D" w:rsidRDefault="00484A7B" w:rsidP="002A3883">
      <w:pPr>
        <w:spacing w:after="0" w:line="480" w:lineRule="auto"/>
        <w:rPr>
          <w:b/>
          <w:lang w:val="en-CA"/>
        </w:rPr>
      </w:pPr>
      <w:r w:rsidRPr="0071085D">
        <w:rPr>
          <w:b/>
          <w:lang w:val="en-CA"/>
        </w:rPr>
        <w:t>Participants</w:t>
      </w:r>
    </w:p>
    <w:p w14:paraId="11F42002" w14:textId="540318C4" w:rsidR="00EC18FB" w:rsidRPr="0071085D" w:rsidRDefault="009D498E" w:rsidP="002A3883">
      <w:pPr>
        <w:widowControl w:val="0"/>
        <w:spacing w:after="0" w:line="480" w:lineRule="auto"/>
        <w:ind w:firstLine="708"/>
        <w:rPr>
          <w:lang w:val="en-CA"/>
        </w:rPr>
      </w:pPr>
      <w:r w:rsidRPr="0071085D">
        <w:rPr>
          <w:lang w:val="en-CA"/>
        </w:rPr>
        <w:t xml:space="preserve">From </w:t>
      </w:r>
      <w:r w:rsidR="00AB07EE" w:rsidRPr="0071085D">
        <w:rPr>
          <w:lang w:val="en-CA"/>
        </w:rPr>
        <w:t xml:space="preserve">June </w:t>
      </w:r>
      <w:r w:rsidRPr="0071085D">
        <w:rPr>
          <w:lang w:val="en-CA"/>
        </w:rPr>
        <w:t xml:space="preserve">to </w:t>
      </w:r>
      <w:r w:rsidR="00AB07EE" w:rsidRPr="0071085D">
        <w:rPr>
          <w:lang w:val="en-CA"/>
        </w:rPr>
        <w:t xml:space="preserve">November 2015, </w:t>
      </w:r>
      <w:proofErr w:type="gramStart"/>
      <w:r w:rsidR="00AB07EE" w:rsidRPr="0071085D">
        <w:rPr>
          <w:lang w:val="en-CA"/>
        </w:rPr>
        <w:t>1093</w:t>
      </w:r>
      <w:proofErr w:type="gramEnd"/>
      <w:r w:rsidR="00AB07EE" w:rsidRPr="0071085D">
        <w:rPr>
          <w:lang w:val="en-CA"/>
        </w:rPr>
        <w:t xml:space="preserve"> French-Canadian participants </w:t>
      </w:r>
      <w:r w:rsidRPr="0071085D">
        <w:rPr>
          <w:lang w:val="en-CA"/>
        </w:rPr>
        <w:t>accessed</w:t>
      </w:r>
      <w:r w:rsidR="00AB07EE" w:rsidRPr="0071085D">
        <w:rPr>
          <w:lang w:val="en-CA"/>
        </w:rPr>
        <w:t xml:space="preserve"> </w:t>
      </w:r>
      <w:r w:rsidR="009B2BBF" w:rsidRPr="0071085D">
        <w:rPr>
          <w:lang w:val="en-CA"/>
        </w:rPr>
        <w:t>the</w:t>
      </w:r>
      <w:r w:rsidR="00AB07EE" w:rsidRPr="0071085D">
        <w:rPr>
          <w:lang w:val="en-CA"/>
        </w:rPr>
        <w:t xml:space="preserve"> questionnaire</w:t>
      </w:r>
      <w:r w:rsidRPr="0071085D">
        <w:rPr>
          <w:lang w:val="en-CA"/>
        </w:rPr>
        <w:t>,</w:t>
      </w:r>
      <w:r w:rsidR="00AB07EE" w:rsidRPr="0071085D">
        <w:rPr>
          <w:lang w:val="en-CA"/>
        </w:rPr>
        <w:t xml:space="preserve"> but 428 </w:t>
      </w:r>
      <w:r w:rsidRPr="0071085D">
        <w:rPr>
          <w:lang w:val="en-CA"/>
        </w:rPr>
        <w:t xml:space="preserve">exited the survey </w:t>
      </w:r>
      <w:r w:rsidR="00AB07EE" w:rsidRPr="0071085D">
        <w:rPr>
          <w:lang w:val="en-CA"/>
        </w:rPr>
        <w:t xml:space="preserve">before </w:t>
      </w:r>
      <w:r w:rsidRPr="0071085D">
        <w:rPr>
          <w:lang w:val="en-CA"/>
        </w:rPr>
        <w:t>completion</w:t>
      </w:r>
      <w:r w:rsidR="00AB07EE" w:rsidRPr="0071085D">
        <w:rPr>
          <w:rStyle w:val="Appelnotedebasdep"/>
          <w:lang w:val="en-CA"/>
        </w:rPr>
        <w:footnoteReference w:id="2"/>
      </w:r>
      <w:r w:rsidR="00AB07EE" w:rsidRPr="0071085D">
        <w:rPr>
          <w:lang w:val="en-CA"/>
        </w:rPr>
        <w:t>. Dr</w:t>
      </w:r>
      <w:r w:rsidR="00403239" w:rsidRPr="0071085D">
        <w:rPr>
          <w:lang w:val="en-CA"/>
        </w:rPr>
        <w:t>op</w:t>
      </w:r>
      <w:r w:rsidR="00AB07EE" w:rsidRPr="0071085D">
        <w:rPr>
          <w:lang w:val="en-CA"/>
        </w:rPr>
        <w:t>-outs</w:t>
      </w:r>
      <w:r w:rsidR="009F2B07" w:rsidRPr="0071085D">
        <w:rPr>
          <w:lang w:val="en-CA"/>
        </w:rPr>
        <w:t xml:space="preserve"> did not differ from the remaining sample on age, sex, religious affiliation, level of education</w:t>
      </w:r>
      <w:r w:rsidRPr="0071085D">
        <w:rPr>
          <w:lang w:val="en-CA"/>
        </w:rPr>
        <w:t>,</w:t>
      </w:r>
      <w:r w:rsidR="009F2B07" w:rsidRPr="0071085D">
        <w:rPr>
          <w:lang w:val="en-CA"/>
        </w:rPr>
        <w:t xml:space="preserve"> or relationship status, but were more likely to be born outside Canada (</w:t>
      </w:r>
      <w:r w:rsidR="000B0041" w:rsidRPr="0071085D">
        <w:rPr>
          <w:lang w:val="en-CA"/>
        </w:rPr>
        <w:t>χ</w:t>
      </w:r>
      <w:r w:rsidR="009F2B07" w:rsidRPr="0071085D">
        <w:rPr>
          <w:vertAlign w:val="superscript"/>
          <w:lang w:val="en-CA"/>
        </w:rPr>
        <w:t>2</w:t>
      </w:r>
      <w:r w:rsidR="009F2B07" w:rsidRPr="0071085D">
        <w:rPr>
          <w:lang w:val="en-CA"/>
        </w:rPr>
        <w:t xml:space="preserve"> (1) = 12.96</w:t>
      </w:r>
      <w:r w:rsidR="0013395D" w:rsidRPr="0071085D">
        <w:rPr>
          <w:lang w:val="en-CA"/>
        </w:rPr>
        <w:t>,</w:t>
      </w:r>
      <w:r w:rsidR="002E769B" w:rsidRPr="0071085D">
        <w:rPr>
          <w:lang w:val="en-CA"/>
        </w:rPr>
        <w:t xml:space="preserve"> </w:t>
      </w:r>
      <w:r w:rsidR="002E769B" w:rsidRPr="0071085D">
        <w:rPr>
          <w:i/>
          <w:lang w:val="en-CA"/>
        </w:rPr>
        <w:t>p</w:t>
      </w:r>
      <w:r w:rsidR="009B2BBF" w:rsidRPr="0071085D">
        <w:rPr>
          <w:i/>
          <w:lang w:val="en-CA"/>
        </w:rPr>
        <w:t xml:space="preserve"> &lt;</w:t>
      </w:r>
      <w:r w:rsidR="002E769B" w:rsidRPr="0071085D">
        <w:rPr>
          <w:lang w:val="en-CA"/>
        </w:rPr>
        <w:t> .00</w:t>
      </w:r>
      <w:r w:rsidR="009B2BBF" w:rsidRPr="0071085D">
        <w:rPr>
          <w:lang w:val="en-CA"/>
        </w:rPr>
        <w:t>1</w:t>
      </w:r>
      <w:r w:rsidR="002E769B" w:rsidRPr="0071085D">
        <w:rPr>
          <w:lang w:val="en-CA"/>
        </w:rPr>
        <w:t>)</w:t>
      </w:r>
      <w:r w:rsidR="009F2B07" w:rsidRPr="0071085D">
        <w:rPr>
          <w:lang w:val="en-CA"/>
        </w:rPr>
        <w:t xml:space="preserve"> and to</w:t>
      </w:r>
      <w:r w:rsidR="003C4499" w:rsidRPr="0071085D">
        <w:rPr>
          <w:lang w:val="en-CA"/>
        </w:rPr>
        <w:t xml:space="preserve"> engage in</w:t>
      </w:r>
      <w:r w:rsidR="009F2B07" w:rsidRPr="0071085D">
        <w:rPr>
          <w:lang w:val="en-CA"/>
        </w:rPr>
        <w:t xml:space="preserve"> religious practice</w:t>
      </w:r>
      <w:r w:rsidR="003C4499" w:rsidRPr="0071085D">
        <w:rPr>
          <w:lang w:val="en-CA"/>
        </w:rPr>
        <w:t>s</w:t>
      </w:r>
      <w:r w:rsidR="009F2B07" w:rsidRPr="0071085D">
        <w:rPr>
          <w:lang w:val="en-CA"/>
        </w:rPr>
        <w:t xml:space="preserve"> (</w:t>
      </w:r>
      <w:r w:rsidR="000B0041" w:rsidRPr="0071085D">
        <w:rPr>
          <w:lang w:val="en-CA"/>
        </w:rPr>
        <w:t>χ</w:t>
      </w:r>
      <w:r w:rsidR="009F2B07" w:rsidRPr="0071085D">
        <w:rPr>
          <w:vertAlign w:val="superscript"/>
          <w:lang w:val="en-CA"/>
        </w:rPr>
        <w:t>2</w:t>
      </w:r>
      <w:r w:rsidR="009F2B07" w:rsidRPr="0071085D">
        <w:rPr>
          <w:lang w:val="en-CA"/>
        </w:rPr>
        <w:t xml:space="preserve"> (1) = 6.95</w:t>
      </w:r>
      <w:r w:rsidR="002E769B" w:rsidRPr="0071085D">
        <w:rPr>
          <w:lang w:val="en-CA"/>
        </w:rPr>
        <w:t xml:space="preserve">, </w:t>
      </w:r>
      <w:r w:rsidR="002E769B" w:rsidRPr="0071085D">
        <w:rPr>
          <w:i/>
          <w:lang w:val="en-CA"/>
        </w:rPr>
        <w:t>p </w:t>
      </w:r>
      <w:r w:rsidR="002E769B" w:rsidRPr="0071085D">
        <w:rPr>
          <w:lang w:val="en-CA"/>
        </w:rPr>
        <w:t>= .008</w:t>
      </w:r>
      <w:r w:rsidR="009F2B07" w:rsidRPr="0071085D">
        <w:rPr>
          <w:lang w:val="en-CA"/>
        </w:rPr>
        <w:t xml:space="preserve">). </w:t>
      </w:r>
      <w:r w:rsidR="00403239" w:rsidRPr="0071085D">
        <w:rPr>
          <w:lang w:val="en-CA"/>
        </w:rPr>
        <w:t xml:space="preserve">To be included in </w:t>
      </w:r>
      <w:r w:rsidRPr="0071085D">
        <w:rPr>
          <w:lang w:val="en-CA"/>
        </w:rPr>
        <w:t>analyses</w:t>
      </w:r>
      <w:r w:rsidR="00403239" w:rsidRPr="0071085D">
        <w:rPr>
          <w:lang w:val="en-CA"/>
        </w:rPr>
        <w:t>, participants had</w:t>
      </w:r>
      <w:r w:rsidR="003C4499" w:rsidRPr="0071085D">
        <w:rPr>
          <w:lang w:val="en-CA"/>
        </w:rPr>
        <w:t xml:space="preserve"> to</w:t>
      </w:r>
      <w:r w:rsidR="00403239" w:rsidRPr="0071085D">
        <w:rPr>
          <w:lang w:val="en-CA"/>
        </w:rPr>
        <w:t xml:space="preserve"> </w:t>
      </w:r>
      <w:r w:rsidR="0087696C" w:rsidRPr="0071085D">
        <w:rPr>
          <w:lang w:val="en-CA"/>
        </w:rPr>
        <w:t xml:space="preserve">have </w:t>
      </w:r>
      <w:r w:rsidRPr="0071085D">
        <w:rPr>
          <w:lang w:val="en-CA"/>
        </w:rPr>
        <w:t xml:space="preserve">provided </w:t>
      </w:r>
      <w:r w:rsidR="0087696C" w:rsidRPr="0071085D">
        <w:rPr>
          <w:lang w:val="en-CA"/>
        </w:rPr>
        <w:t>complete</w:t>
      </w:r>
      <w:r w:rsidR="00E475B4" w:rsidRPr="0071085D">
        <w:rPr>
          <w:lang w:val="en-CA"/>
        </w:rPr>
        <w:t xml:space="preserve"> data </w:t>
      </w:r>
      <w:r w:rsidR="0087696C" w:rsidRPr="0071085D">
        <w:rPr>
          <w:lang w:val="en-CA"/>
        </w:rPr>
        <w:t xml:space="preserve">on risk-taking indicators, </w:t>
      </w:r>
      <w:r w:rsidR="00403239" w:rsidRPr="0071085D">
        <w:rPr>
          <w:lang w:val="en-CA"/>
        </w:rPr>
        <w:t xml:space="preserve">be </w:t>
      </w:r>
      <w:r w:rsidRPr="0071085D">
        <w:rPr>
          <w:lang w:val="en-CA"/>
        </w:rPr>
        <w:t>age</w:t>
      </w:r>
      <w:r w:rsidR="00B233E0" w:rsidRPr="0071085D">
        <w:rPr>
          <w:lang w:val="en-CA"/>
        </w:rPr>
        <w:t>d</w:t>
      </w:r>
      <w:r w:rsidRPr="0071085D">
        <w:rPr>
          <w:lang w:val="en-CA"/>
        </w:rPr>
        <w:t xml:space="preserve"> </w:t>
      </w:r>
      <w:r w:rsidR="000845D2" w:rsidRPr="0071085D">
        <w:rPr>
          <w:lang w:val="en-CA"/>
        </w:rPr>
        <w:t>1</w:t>
      </w:r>
      <w:r w:rsidR="009E287C" w:rsidRPr="0071085D">
        <w:rPr>
          <w:lang w:val="en-CA"/>
        </w:rPr>
        <w:t xml:space="preserve">8 </w:t>
      </w:r>
      <w:r w:rsidR="00B233E0" w:rsidRPr="0071085D">
        <w:rPr>
          <w:lang w:val="en-CA"/>
        </w:rPr>
        <w:t>to</w:t>
      </w:r>
      <w:r w:rsidR="000845D2" w:rsidRPr="0071085D">
        <w:rPr>
          <w:lang w:val="en-CA"/>
        </w:rPr>
        <w:t xml:space="preserve"> 29</w:t>
      </w:r>
      <w:r w:rsidR="00EC18FB" w:rsidRPr="0071085D">
        <w:rPr>
          <w:lang w:val="en-CA"/>
        </w:rPr>
        <w:t>,</w:t>
      </w:r>
      <w:r w:rsidR="000845D2" w:rsidRPr="0071085D">
        <w:rPr>
          <w:lang w:val="en-CA"/>
        </w:rPr>
        <w:t xml:space="preserve"> </w:t>
      </w:r>
      <w:r w:rsidR="007C0730" w:rsidRPr="0071085D">
        <w:rPr>
          <w:lang w:val="en-CA"/>
        </w:rPr>
        <w:t>and</w:t>
      </w:r>
      <w:r w:rsidR="00403239" w:rsidRPr="0071085D">
        <w:rPr>
          <w:lang w:val="en-CA"/>
        </w:rPr>
        <w:t xml:space="preserve"> </w:t>
      </w:r>
      <w:r w:rsidR="00EE09D4" w:rsidRPr="0071085D">
        <w:rPr>
          <w:lang w:val="en-CA"/>
        </w:rPr>
        <w:t xml:space="preserve">have </w:t>
      </w:r>
      <w:r w:rsidR="009E287C" w:rsidRPr="0071085D">
        <w:rPr>
          <w:lang w:val="en-CA"/>
        </w:rPr>
        <w:t>experience</w:t>
      </w:r>
      <w:r w:rsidR="00403239" w:rsidRPr="0071085D">
        <w:rPr>
          <w:lang w:val="en-CA"/>
        </w:rPr>
        <w:t>d</w:t>
      </w:r>
      <w:r w:rsidR="003B6A11" w:rsidRPr="0071085D">
        <w:rPr>
          <w:lang w:val="en-CA"/>
        </w:rPr>
        <w:t xml:space="preserve"> penile-vaginal intercourse</w:t>
      </w:r>
      <w:r w:rsidR="00663EA9" w:rsidRPr="0071085D">
        <w:rPr>
          <w:rStyle w:val="Appelnotedebasdep"/>
          <w:lang w:val="en-CA"/>
        </w:rPr>
        <w:footnoteReference w:id="3"/>
      </w:r>
      <w:r w:rsidR="00EE09D4" w:rsidRPr="0071085D">
        <w:rPr>
          <w:lang w:val="en-CA"/>
        </w:rPr>
        <w:t>. Those with</w:t>
      </w:r>
      <w:r w:rsidRPr="0071085D">
        <w:rPr>
          <w:lang w:val="en-CA"/>
        </w:rPr>
        <w:t>out</w:t>
      </w:r>
      <w:r w:rsidR="00EE09D4" w:rsidRPr="0071085D">
        <w:rPr>
          <w:lang w:val="en-CA"/>
        </w:rPr>
        <w:t xml:space="preserve"> </w:t>
      </w:r>
      <w:r w:rsidR="00232A7B" w:rsidRPr="0071085D">
        <w:rPr>
          <w:lang w:val="en-CA"/>
        </w:rPr>
        <w:t xml:space="preserve">intercourse </w:t>
      </w:r>
      <w:r w:rsidR="00EE09D4" w:rsidRPr="0071085D">
        <w:rPr>
          <w:lang w:val="en-CA"/>
        </w:rPr>
        <w:t xml:space="preserve">experience were included </w:t>
      </w:r>
      <w:r w:rsidR="00D379A9" w:rsidRPr="0071085D">
        <w:rPr>
          <w:lang w:val="en-CA"/>
        </w:rPr>
        <w:t xml:space="preserve">only </w:t>
      </w:r>
      <w:r w:rsidR="00EE09D4" w:rsidRPr="0071085D">
        <w:rPr>
          <w:lang w:val="en-CA"/>
        </w:rPr>
        <w:t xml:space="preserve">if they identified </w:t>
      </w:r>
      <w:r w:rsidR="00403239" w:rsidRPr="0071085D">
        <w:rPr>
          <w:lang w:val="en-CA"/>
        </w:rPr>
        <w:t>as heterosexual</w:t>
      </w:r>
      <w:r w:rsidR="009054BD" w:rsidRPr="0071085D">
        <w:rPr>
          <w:lang w:val="en-CA"/>
        </w:rPr>
        <w:t>.</w:t>
      </w:r>
      <w:r w:rsidR="00D379A9" w:rsidRPr="0071085D">
        <w:rPr>
          <w:lang w:val="en-CA"/>
        </w:rPr>
        <w:t xml:space="preserve"> </w:t>
      </w:r>
      <w:r w:rsidR="00EE285D" w:rsidRPr="0071085D">
        <w:rPr>
          <w:lang w:val="en-CA"/>
        </w:rPr>
        <w:t>Consistent with</w:t>
      </w:r>
      <w:r w:rsidR="00D379A9" w:rsidRPr="0071085D">
        <w:rPr>
          <w:lang w:val="en-CA"/>
        </w:rPr>
        <w:t xml:space="preserve"> previous </w:t>
      </w:r>
      <w:r w:rsidR="00254A98" w:rsidRPr="0071085D">
        <w:rPr>
          <w:lang w:val="en-CA"/>
        </w:rPr>
        <w:t xml:space="preserve">research </w:t>
      </w:r>
      <w:r w:rsidR="00D379A9" w:rsidRPr="0071085D">
        <w:rPr>
          <w:lang w:val="en-CA"/>
        </w:rPr>
        <w:t>(</w:t>
      </w:r>
      <w:r w:rsidR="00D379A9" w:rsidRPr="0071085D">
        <w:rPr>
          <w:lang w:val="en-AU"/>
        </w:rPr>
        <w:t>Eisenberg</w:t>
      </w:r>
      <w:r w:rsidR="000B21B5" w:rsidRPr="0071085D">
        <w:rPr>
          <w:lang w:val="en-AU"/>
        </w:rPr>
        <w:t xml:space="preserve"> et al.</w:t>
      </w:r>
      <w:r w:rsidR="00D379A9" w:rsidRPr="0071085D">
        <w:rPr>
          <w:lang w:val="en-AU"/>
        </w:rPr>
        <w:t>, 2009</w:t>
      </w:r>
      <w:r w:rsidR="00D379A9" w:rsidRPr="0071085D">
        <w:rPr>
          <w:lang w:val="en-CA"/>
        </w:rPr>
        <w:t xml:space="preserve">), the decision to exclude participants who self-identified as lesbian, </w:t>
      </w:r>
      <w:r w:rsidR="00AF3075" w:rsidRPr="0071085D">
        <w:rPr>
          <w:lang w:val="en-CA"/>
        </w:rPr>
        <w:t xml:space="preserve">gay, </w:t>
      </w:r>
      <w:r w:rsidR="00D379A9" w:rsidRPr="0071085D">
        <w:rPr>
          <w:lang w:val="en-CA"/>
        </w:rPr>
        <w:t>bisexual</w:t>
      </w:r>
      <w:r w:rsidR="00AF3075" w:rsidRPr="0071085D">
        <w:rPr>
          <w:lang w:val="en-CA"/>
        </w:rPr>
        <w:t xml:space="preserve"> (LGB)</w:t>
      </w:r>
      <w:r w:rsidR="00996337" w:rsidRPr="0071085D">
        <w:rPr>
          <w:lang w:val="en-CA"/>
        </w:rPr>
        <w:t>,</w:t>
      </w:r>
      <w:r w:rsidR="00D379A9" w:rsidRPr="0071085D">
        <w:rPr>
          <w:lang w:val="en-CA"/>
        </w:rPr>
        <w:t xml:space="preserve"> or asexual and</w:t>
      </w:r>
      <w:r w:rsidR="00D379A9" w:rsidRPr="0071085D">
        <w:rPr>
          <w:i/>
          <w:lang w:val="en-CA"/>
        </w:rPr>
        <w:t xml:space="preserve"> </w:t>
      </w:r>
      <w:r w:rsidR="00D379A9" w:rsidRPr="0071085D">
        <w:rPr>
          <w:lang w:val="en-CA"/>
        </w:rPr>
        <w:t xml:space="preserve">who </w:t>
      </w:r>
      <w:r w:rsidR="00996337" w:rsidRPr="0071085D">
        <w:rPr>
          <w:lang w:val="en-CA"/>
        </w:rPr>
        <w:t xml:space="preserve">have </w:t>
      </w:r>
      <w:r w:rsidR="00D379A9" w:rsidRPr="0071085D">
        <w:rPr>
          <w:lang w:val="en-CA"/>
        </w:rPr>
        <w:t xml:space="preserve">never experienced </w:t>
      </w:r>
      <w:r w:rsidR="00232A7B" w:rsidRPr="0071085D">
        <w:rPr>
          <w:lang w:val="en-CA"/>
        </w:rPr>
        <w:t>intercourse</w:t>
      </w:r>
      <w:r w:rsidR="00996337" w:rsidRPr="0071085D">
        <w:rPr>
          <w:lang w:val="en-CA"/>
        </w:rPr>
        <w:t>,</w:t>
      </w:r>
      <w:r w:rsidR="00D379A9" w:rsidRPr="0071085D">
        <w:rPr>
          <w:lang w:val="en-CA"/>
        </w:rPr>
        <w:t xml:space="preserve"> was based on the lack of consistent empirical evidence regarding the median or mean age at first same-sex sexual experience among these </w:t>
      </w:r>
      <w:r w:rsidR="00E475B4" w:rsidRPr="0071085D">
        <w:rPr>
          <w:lang w:val="en-CA"/>
        </w:rPr>
        <w:t>populations</w:t>
      </w:r>
      <w:r w:rsidR="00D379A9" w:rsidRPr="0071085D">
        <w:rPr>
          <w:lang w:val="en-CA"/>
        </w:rPr>
        <w:t xml:space="preserve">, as well as on the absence of </w:t>
      </w:r>
      <w:r w:rsidR="00996337" w:rsidRPr="0071085D">
        <w:rPr>
          <w:lang w:val="en-CA"/>
        </w:rPr>
        <w:t>consensus</w:t>
      </w:r>
      <w:r w:rsidR="00D379A9" w:rsidRPr="0071085D">
        <w:rPr>
          <w:lang w:val="en-CA"/>
        </w:rPr>
        <w:t xml:space="preserve"> </w:t>
      </w:r>
      <w:r w:rsidR="00996337" w:rsidRPr="0071085D">
        <w:rPr>
          <w:lang w:val="en-CA"/>
        </w:rPr>
        <w:t>regarding the</w:t>
      </w:r>
      <w:r w:rsidR="00D379A9" w:rsidRPr="0071085D">
        <w:rPr>
          <w:lang w:val="en-CA"/>
        </w:rPr>
        <w:t xml:space="preserve"> marker </w:t>
      </w:r>
      <w:r w:rsidR="00996337" w:rsidRPr="0071085D">
        <w:rPr>
          <w:lang w:val="en-CA"/>
        </w:rPr>
        <w:t>of</w:t>
      </w:r>
      <w:r w:rsidR="00D379A9" w:rsidRPr="0071085D">
        <w:rPr>
          <w:lang w:val="en-CA"/>
        </w:rPr>
        <w:t xml:space="preserve"> transition to sexual activity in </w:t>
      </w:r>
      <w:r w:rsidR="00AF3075" w:rsidRPr="0071085D">
        <w:rPr>
          <w:lang w:val="en-CA"/>
        </w:rPr>
        <w:t xml:space="preserve">LGB </w:t>
      </w:r>
      <w:r w:rsidR="00D379A9" w:rsidRPr="0071085D">
        <w:rPr>
          <w:lang w:val="en-CA"/>
        </w:rPr>
        <w:t>youth</w:t>
      </w:r>
      <w:r w:rsidR="00EE285D" w:rsidRPr="0071085D">
        <w:rPr>
          <w:rStyle w:val="Appelnotedebasdep"/>
          <w:lang w:val="en-CA"/>
        </w:rPr>
        <w:footnoteReference w:id="4"/>
      </w:r>
      <w:r w:rsidR="00E475B4" w:rsidRPr="0071085D">
        <w:rPr>
          <w:lang w:val="en-CA"/>
        </w:rPr>
        <w:t xml:space="preserve">. </w:t>
      </w:r>
      <w:r w:rsidR="00F836F8" w:rsidRPr="0071085D">
        <w:rPr>
          <w:lang w:val="en-CA"/>
        </w:rPr>
        <w:t xml:space="preserve">Of </w:t>
      </w:r>
      <w:r w:rsidR="00403239" w:rsidRPr="0071085D">
        <w:rPr>
          <w:lang w:val="en-CA"/>
        </w:rPr>
        <w:lastRenderedPageBreak/>
        <w:t xml:space="preserve">the </w:t>
      </w:r>
      <w:r w:rsidR="0087696C" w:rsidRPr="0071085D">
        <w:rPr>
          <w:lang w:val="en-CA"/>
        </w:rPr>
        <w:t xml:space="preserve">remaining </w:t>
      </w:r>
      <w:r w:rsidR="00403239" w:rsidRPr="0071085D">
        <w:rPr>
          <w:lang w:val="en-CA"/>
        </w:rPr>
        <w:t>6</w:t>
      </w:r>
      <w:r w:rsidR="0056416D" w:rsidRPr="0071085D">
        <w:rPr>
          <w:lang w:val="en-CA"/>
        </w:rPr>
        <w:t>6</w:t>
      </w:r>
      <w:r w:rsidR="0087696C" w:rsidRPr="0071085D">
        <w:rPr>
          <w:lang w:val="en-CA"/>
        </w:rPr>
        <w:t>5</w:t>
      </w:r>
      <w:r w:rsidR="00403239" w:rsidRPr="0071085D">
        <w:rPr>
          <w:lang w:val="en-CA"/>
        </w:rPr>
        <w:t xml:space="preserve"> participants</w:t>
      </w:r>
      <w:r w:rsidR="0087696C" w:rsidRPr="0071085D">
        <w:rPr>
          <w:lang w:val="en-CA"/>
        </w:rPr>
        <w:t>,</w:t>
      </w:r>
      <w:r w:rsidR="00403239" w:rsidRPr="0071085D">
        <w:rPr>
          <w:lang w:val="en-CA"/>
        </w:rPr>
        <w:t xml:space="preserve"> </w:t>
      </w:r>
      <w:r w:rsidR="0056416D" w:rsidRPr="0071085D">
        <w:rPr>
          <w:lang w:val="en-CA"/>
        </w:rPr>
        <w:t>6</w:t>
      </w:r>
      <w:r w:rsidR="009054BD" w:rsidRPr="0071085D">
        <w:rPr>
          <w:lang w:val="en-CA"/>
        </w:rPr>
        <w:t xml:space="preserve">3 </w:t>
      </w:r>
      <w:r w:rsidR="00F836F8" w:rsidRPr="0071085D">
        <w:rPr>
          <w:lang w:val="en-CA"/>
        </w:rPr>
        <w:t xml:space="preserve">were excluded from the analyses because they </w:t>
      </w:r>
      <w:r w:rsidR="009054BD" w:rsidRPr="0071085D">
        <w:rPr>
          <w:lang w:val="en-CA"/>
        </w:rPr>
        <w:t xml:space="preserve">did not meet these inclusion criteria. </w:t>
      </w:r>
      <w:r w:rsidR="00742FD5" w:rsidRPr="0071085D">
        <w:rPr>
          <w:lang w:val="en-CA"/>
        </w:rPr>
        <w:t>Compared to our final sample, the</w:t>
      </w:r>
      <w:r w:rsidR="005F07B4" w:rsidRPr="0071085D">
        <w:rPr>
          <w:lang w:val="en-CA"/>
        </w:rPr>
        <w:t xml:space="preserve"> latter</w:t>
      </w:r>
      <w:r w:rsidR="00742FD5" w:rsidRPr="0071085D">
        <w:rPr>
          <w:lang w:val="en-CA"/>
        </w:rPr>
        <w:t xml:space="preserve"> were more likely to be male</w:t>
      </w:r>
      <w:r w:rsidR="009054BD" w:rsidRPr="0071085D">
        <w:rPr>
          <w:lang w:val="en-CA"/>
        </w:rPr>
        <w:t xml:space="preserve"> </w:t>
      </w:r>
      <w:r w:rsidR="00742FD5" w:rsidRPr="0071085D">
        <w:rPr>
          <w:lang w:val="en-CA"/>
        </w:rPr>
        <w:t>(</w:t>
      </w:r>
      <w:r w:rsidR="000B0041" w:rsidRPr="0071085D">
        <w:rPr>
          <w:lang w:val="en-CA"/>
        </w:rPr>
        <w:t>χ</w:t>
      </w:r>
      <w:r w:rsidR="00742FD5" w:rsidRPr="0071085D">
        <w:rPr>
          <w:vertAlign w:val="superscript"/>
          <w:lang w:val="en-CA"/>
        </w:rPr>
        <w:t>2</w:t>
      </w:r>
      <w:r w:rsidR="00742FD5" w:rsidRPr="0071085D">
        <w:rPr>
          <w:lang w:val="en-CA"/>
        </w:rPr>
        <w:t xml:space="preserve"> (1) = 21.15</w:t>
      </w:r>
      <w:r w:rsidR="002E769B" w:rsidRPr="0071085D">
        <w:rPr>
          <w:lang w:val="en-CA"/>
        </w:rPr>
        <w:t>,</w:t>
      </w:r>
      <w:r w:rsidR="002E769B" w:rsidRPr="0071085D">
        <w:rPr>
          <w:i/>
          <w:lang w:val="en-CA"/>
        </w:rPr>
        <w:t xml:space="preserve"> p </w:t>
      </w:r>
      <w:r w:rsidR="0097538F" w:rsidRPr="0071085D">
        <w:rPr>
          <w:i/>
          <w:lang w:val="en-CA"/>
        </w:rPr>
        <w:t>&lt;</w:t>
      </w:r>
      <w:r w:rsidR="002E769B" w:rsidRPr="0071085D">
        <w:rPr>
          <w:lang w:val="en-CA"/>
        </w:rPr>
        <w:t> .00</w:t>
      </w:r>
      <w:r w:rsidR="0097538F" w:rsidRPr="0071085D">
        <w:rPr>
          <w:lang w:val="en-CA"/>
        </w:rPr>
        <w:t>1</w:t>
      </w:r>
      <w:r w:rsidR="00742FD5" w:rsidRPr="0071085D">
        <w:rPr>
          <w:lang w:val="en-CA"/>
        </w:rPr>
        <w:t>) and less educated (</w:t>
      </w:r>
      <w:r w:rsidR="000B0041" w:rsidRPr="0071085D">
        <w:rPr>
          <w:lang w:val="en-CA"/>
        </w:rPr>
        <w:t>χ</w:t>
      </w:r>
      <w:r w:rsidR="0056416D" w:rsidRPr="0071085D">
        <w:rPr>
          <w:vertAlign w:val="superscript"/>
          <w:lang w:val="en-CA"/>
        </w:rPr>
        <w:t>2</w:t>
      </w:r>
      <w:r w:rsidR="0056416D" w:rsidRPr="0071085D">
        <w:rPr>
          <w:lang w:val="en-CA"/>
        </w:rPr>
        <w:t xml:space="preserve"> (1) = 7.52</w:t>
      </w:r>
      <w:r w:rsidR="002E769B" w:rsidRPr="0071085D">
        <w:rPr>
          <w:lang w:val="en-CA"/>
        </w:rPr>
        <w:t xml:space="preserve">, </w:t>
      </w:r>
      <w:r w:rsidR="002E769B" w:rsidRPr="0071085D">
        <w:rPr>
          <w:i/>
          <w:lang w:val="en-CA"/>
        </w:rPr>
        <w:t>p </w:t>
      </w:r>
      <w:r w:rsidR="002E769B" w:rsidRPr="0071085D">
        <w:rPr>
          <w:lang w:val="en-CA"/>
        </w:rPr>
        <w:t>= .006</w:t>
      </w:r>
      <w:r w:rsidR="00742FD5" w:rsidRPr="0071085D">
        <w:rPr>
          <w:lang w:val="en-CA"/>
        </w:rPr>
        <w:t>)</w:t>
      </w:r>
      <w:r w:rsidR="00182320" w:rsidRPr="0071085D">
        <w:rPr>
          <w:lang w:val="en-CA"/>
        </w:rPr>
        <w:t xml:space="preserve">. </w:t>
      </w:r>
      <w:r w:rsidR="00742FD5" w:rsidRPr="0071085D">
        <w:rPr>
          <w:lang w:val="en-CA"/>
        </w:rPr>
        <w:t xml:space="preserve">The final sample </w:t>
      </w:r>
      <w:r w:rsidR="00F836F8" w:rsidRPr="0071085D">
        <w:rPr>
          <w:lang w:val="en-CA"/>
        </w:rPr>
        <w:t>included</w:t>
      </w:r>
      <w:r w:rsidR="00742FD5" w:rsidRPr="0071085D">
        <w:rPr>
          <w:lang w:val="en-CA"/>
        </w:rPr>
        <w:t xml:space="preserve"> 602 emerging adults (Mage = 22.33, SD = 2.14</w:t>
      </w:r>
      <w:r w:rsidR="008D15A0" w:rsidRPr="0071085D">
        <w:rPr>
          <w:lang w:val="en-CA"/>
        </w:rPr>
        <w:t xml:space="preserve">; 83.9% female), </w:t>
      </w:r>
      <w:r w:rsidR="00F836F8" w:rsidRPr="0071085D">
        <w:rPr>
          <w:lang w:val="en-CA"/>
        </w:rPr>
        <w:t xml:space="preserve">most of whom were </w:t>
      </w:r>
      <w:r w:rsidR="00924B05" w:rsidRPr="0071085D">
        <w:rPr>
          <w:lang w:val="en-CA"/>
        </w:rPr>
        <w:t>born in Canada (90.5%)</w:t>
      </w:r>
      <w:r w:rsidR="008D15A0" w:rsidRPr="0071085D">
        <w:rPr>
          <w:lang w:val="en-CA"/>
        </w:rPr>
        <w:t>,</w:t>
      </w:r>
      <w:r w:rsidR="00924B05" w:rsidRPr="0071085D">
        <w:rPr>
          <w:lang w:val="en-CA"/>
        </w:rPr>
        <w:t xml:space="preserve"> </w:t>
      </w:r>
      <w:r w:rsidR="00F836F8" w:rsidRPr="0071085D">
        <w:rPr>
          <w:lang w:val="en-CA"/>
        </w:rPr>
        <w:t>had</w:t>
      </w:r>
      <w:r w:rsidR="00924B05" w:rsidRPr="0071085D">
        <w:rPr>
          <w:lang w:val="en-CA"/>
        </w:rPr>
        <w:t xml:space="preserve"> </w:t>
      </w:r>
      <w:r w:rsidR="00F836F8" w:rsidRPr="0071085D">
        <w:rPr>
          <w:lang w:val="en-CA"/>
        </w:rPr>
        <w:t>c</w:t>
      </w:r>
      <w:r w:rsidR="00924B05" w:rsidRPr="0071085D">
        <w:rPr>
          <w:lang w:val="en-CA"/>
        </w:rPr>
        <w:t>olleg</w:t>
      </w:r>
      <w:r w:rsidR="008D15A0" w:rsidRPr="0071085D">
        <w:rPr>
          <w:lang w:val="en-CA"/>
        </w:rPr>
        <w:t xml:space="preserve">e or </w:t>
      </w:r>
      <w:r w:rsidR="00F836F8" w:rsidRPr="0071085D">
        <w:rPr>
          <w:lang w:val="en-CA"/>
        </w:rPr>
        <w:t>u</w:t>
      </w:r>
      <w:r w:rsidR="008D15A0" w:rsidRPr="0071085D">
        <w:rPr>
          <w:lang w:val="en-CA"/>
        </w:rPr>
        <w:t xml:space="preserve">niversity education (86%), </w:t>
      </w:r>
      <w:r w:rsidR="00F836F8" w:rsidRPr="0071085D">
        <w:rPr>
          <w:lang w:val="en-CA"/>
        </w:rPr>
        <w:t>and</w:t>
      </w:r>
      <w:r w:rsidR="008D15A0" w:rsidRPr="0071085D">
        <w:rPr>
          <w:lang w:val="en-CA"/>
        </w:rPr>
        <w:t xml:space="preserve"> </w:t>
      </w:r>
      <w:r w:rsidR="00F836F8" w:rsidRPr="0071085D">
        <w:rPr>
          <w:lang w:val="en-CA"/>
        </w:rPr>
        <w:t>had no</w:t>
      </w:r>
      <w:r w:rsidR="008D15A0" w:rsidRPr="0071085D">
        <w:rPr>
          <w:lang w:val="en-CA"/>
        </w:rPr>
        <w:t xml:space="preserve"> religious affiliation or practice (see Table 1). </w:t>
      </w:r>
      <w:r w:rsidR="00924B05" w:rsidRPr="0071085D">
        <w:rPr>
          <w:lang w:val="en-CA"/>
        </w:rPr>
        <w:t xml:space="preserve">Nearly 60% </w:t>
      </w:r>
      <w:r w:rsidR="008D15A0" w:rsidRPr="0071085D">
        <w:rPr>
          <w:lang w:val="en-CA"/>
        </w:rPr>
        <w:t xml:space="preserve">participants </w:t>
      </w:r>
      <w:r w:rsidR="00924B05" w:rsidRPr="0071085D">
        <w:rPr>
          <w:lang w:val="en-CA"/>
        </w:rPr>
        <w:t xml:space="preserve">were </w:t>
      </w:r>
      <w:r w:rsidR="00DF3194" w:rsidRPr="0071085D">
        <w:rPr>
          <w:lang w:val="en-CA"/>
        </w:rPr>
        <w:t xml:space="preserve">currently </w:t>
      </w:r>
      <w:r w:rsidR="00924B05" w:rsidRPr="0071085D">
        <w:rPr>
          <w:lang w:val="en-CA"/>
        </w:rPr>
        <w:t>in a relationship</w:t>
      </w:r>
      <w:r w:rsidR="00DF3194" w:rsidRPr="0071085D">
        <w:rPr>
          <w:lang w:val="en-CA"/>
        </w:rPr>
        <w:t>,</w:t>
      </w:r>
      <w:r w:rsidR="008D15A0" w:rsidRPr="0071085D">
        <w:rPr>
          <w:lang w:val="en-CA"/>
        </w:rPr>
        <w:t xml:space="preserve"> </w:t>
      </w:r>
      <w:r w:rsidR="00642415" w:rsidRPr="0071085D">
        <w:rPr>
          <w:lang w:val="en-CA"/>
        </w:rPr>
        <w:t>cohabiting</w:t>
      </w:r>
      <w:r w:rsidR="008D15A0" w:rsidRPr="0071085D">
        <w:rPr>
          <w:lang w:val="en-CA"/>
        </w:rPr>
        <w:t xml:space="preserve"> (55.8%) or married to (3.8%)</w:t>
      </w:r>
      <w:r w:rsidR="00642415" w:rsidRPr="0071085D">
        <w:rPr>
          <w:lang w:val="en-CA"/>
        </w:rPr>
        <w:t xml:space="preserve">, </w:t>
      </w:r>
      <w:r w:rsidR="0097538F" w:rsidRPr="0071085D">
        <w:rPr>
          <w:lang w:val="en-CA"/>
        </w:rPr>
        <w:t xml:space="preserve">and </w:t>
      </w:r>
      <w:r w:rsidR="00DF3194" w:rsidRPr="0071085D">
        <w:rPr>
          <w:lang w:val="en-CA"/>
        </w:rPr>
        <w:t>two</w:t>
      </w:r>
      <w:r w:rsidR="00642415" w:rsidRPr="0071085D">
        <w:rPr>
          <w:lang w:val="en-CA"/>
        </w:rPr>
        <w:t>-</w:t>
      </w:r>
      <w:r w:rsidR="00DF3194" w:rsidRPr="0071085D">
        <w:rPr>
          <w:lang w:val="en-CA"/>
        </w:rPr>
        <w:t xml:space="preserve">thirds were dating or </w:t>
      </w:r>
      <w:r w:rsidR="00642415" w:rsidRPr="0071085D">
        <w:rPr>
          <w:lang w:val="en-CA"/>
        </w:rPr>
        <w:t>in a</w:t>
      </w:r>
      <w:r w:rsidR="00DF3194" w:rsidRPr="0071085D">
        <w:rPr>
          <w:lang w:val="en-CA"/>
        </w:rPr>
        <w:t xml:space="preserve"> committed </w:t>
      </w:r>
      <w:r w:rsidR="00642415" w:rsidRPr="0071085D">
        <w:rPr>
          <w:lang w:val="en-CA"/>
        </w:rPr>
        <w:t xml:space="preserve">relationship </w:t>
      </w:r>
      <w:r w:rsidR="00DF3194" w:rsidRPr="0071085D">
        <w:rPr>
          <w:lang w:val="en-CA"/>
        </w:rPr>
        <w:t xml:space="preserve">for at least </w:t>
      </w:r>
      <w:r w:rsidR="00642415" w:rsidRPr="0071085D">
        <w:rPr>
          <w:lang w:val="en-CA"/>
        </w:rPr>
        <w:t>one</w:t>
      </w:r>
      <w:r w:rsidR="00DF3194" w:rsidRPr="0071085D">
        <w:rPr>
          <w:lang w:val="en-CA"/>
        </w:rPr>
        <w:t xml:space="preserve"> year. A</w:t>
      </w:r>
      <w:r w:rsidR="00B63282" w:rsidRPr="0071085D">
        <w:rPr>
          <w:lang w:val="en-CA"/>
        </w:rPr>
        <w:t xml:space="preserve">n additional 16% </w:t>
      </w:r>
      <w:r w:rsidR="008D15A0" w:rsidRPr="0071085D">
        <w:rPr>
          <w:lang w:val="en-CA"/>
        </w:rPr>
        <w:t>identified as</w:t>
      </w:r>
      <w:r w:rsidR="00B63282" w:rsidRPr="0071085D">
        <w:rPr>
          <w:lang w:val="en-CA"/>
        </w:rPr>
        <w:t xml:space="preserve"> single</w:t>
      </w:r>
      <w:r w:rsidR="00642415" w:rsidRPr="0071085D">
        <w:rPr>
          <w:lang w:val="en-CA"/>
        </w:rPr>
        <w:t>, but</w:t>
      </w:r>
      <w:r w:rsidR="008D15A0" w:rsidRPr="0071085D">
        <w:rPr>
          <w:lang w:val="en-CA"/>
        </w:rPr>
        <w:t xml:space="preserve"> </w:t>
      </w:r>
      <w:r w:rsidR="003753A1" w:rsidRPr="0071085D">
        <w:rPr>
          <w:lang w:val="en-CA"/>
        </w:rPr>
        <w:t xml:space="preserve">currently </w:t>
      </w:r>
      <w:r w:rsidR="00B63282" w:rsidRPr="0071085D">
        <w:rPr>
          <w:lang w:val="en-CA"/>
        </w:rPr>
        <w:t>dating</w:t>
      </w:r>
      <w:r w:rsidR="00A719A4" w:rsidRPr="0071085D">
        <w:rPr>
          <w:lang w:val="en-CA"/>
        </w:rPr>
        <w:t xml:space="preserve"> someone</w:t>
      </w:r>
      <w:r w:rsidR="00B63282" w:rsidRPr="0071085D">
        <w:rPr>
          <w:lang w:val="en-CA"/>
        </w:rPr>
        <w:t xml:space="preserve">. </w:t>
      </w:r>
    </w:p>
    <w:p w14:paraId="5D0EA9A4" w14:textId="71462540" w:rsidR="00452E06" w:rsidRPr="0071085D" w:rsidRDefault="00107024" w:rsidP="002A3883">
      <w:pPr>
        <w:spacing w:after="0" w:line="480" w:lineRule="auto"/>
        <w:rPr>
          <w:b/>
          <w:lang w:val="en-CA"/>
        </w:rPr>
      </w:pPr>
      <w:r w:rsidRPr="0071085D">
        <w:rPr>
          <w:b/>
          <w:lang w:val="en-CA"/>
        </w:rPr>
        <w:t>Measures</w:t>
      </w:r>
      <w:r w:rsidR="0015416A" w:rsidRPr="0071085D">
        <w:rPr>
          <w:b/>
          <w:lang w:val="en-CA"/>
        </w:rPr>
        <w:t xml:space="preserve"> </w:t>
      </w:r>
    </w:p>
    <w:p w14:paraId="1AC53343" w14:textId="1F9E4F98" w:rsidR="00800934" w:rsidRPr="0071085D" w:rsidRDefault="002B45FE" w:rsidP="002A3883">
      <w:pPr>
        <w:widowControl w:val="0"/>
        <w:spacing w:after="0" w:line="480" w:lineRule="auto"/>
        <w:ind w:firstLine="708"/>
        <w:rPr>
          <w:lang w:val="en-CA"/>
        </w:rPr>
      </w:pPr>
      <w:r w:rsidRPr="0071085D">
        <w:rPr>
          <w:b/>
          <w:lang w:val="en-CA"/>
        </w:rPr>
        <w:t>Risk</w:t>
      </w:r>
      <w:r w:rsidR="00FC6ADA" w:rsidRPr="0071085D">
        <w:rPr>
          <w:b/>
          <w:lang w:val="en-CA"/>
        </w:rPr>
        <w:t>-</w:t>
      </w:r>
      <w:r w:rsidR="00452E06" w:rsidRPr="0071085D">
        <w:rPr>
          <w:b/>
          <w:lang w:val="en-CA"/>
        </w:rPr>
        <w:t>t</w:t>
      </w:r>
      <w:r w:rsidR="00FC6ADA" w:rsidRPr="0071085D">
        <w:rPr>
          <w:b/>
          <w:lang w:val="en-CA"/>
        </w:rPr>
        <w:t xml:space="preserve">aking </w:t>
      </w:r>
      <w:r w:rsidR="00452E06" w:rsidRPr="0071085D">
        <w:rPr>
          <w:b/>
          <w:lang w:val="en-CA"/>
        </w:rPr>
        <w:t>b</w:t>
      </w:r>
      <w:r w:rsidR="00FC6ADA" w:rsidRPr="0071085D">
        <w:rPr>
          <w:b/>
          <w:lang w:val="en-CA"/>
        </w:rPr>
        <w:t>ehaviors</w:t>
      </w:r>
      <w:r w:rsidRPr="0071085D">
        <w:rPr>
          <w:i/>
          <w:lang w:val="en-CA"/>
        </w:rPr>
        <w:t>.</w:t>
      </w:r>
      <w:r w:rsidR="00D14634" w:rsidRPr="0071085D">
        <w:rPr>
          <w:i/>
          <w:lang w:val="en-CA"/>
        </w:rPr>
        <w:t xml:space="preserve"> </w:t>
      </w:r>
      <w:r w:rsidR="00800934" w:rsidRPr="0071085D">
        <w:rPr>
          <w:i/>
          <w:lang w:val="en-CA"/>
        </w:rPr>
        <w:t>(1)</w:t>
      </w:r>
      <w:r w:rsidR="00800934" w:rsidRPr="0071085D">
        <w:rPr>
          <w:lang w:val="en-CA"/>
        </w:rPr>
        <w:t xml:space="preserve"> </w:t>
      </w:r>
      <w:r w:rsidRPr="0071085D">
        <w:rPr>
          <w:lang w:val="en-CA"/>
        </w:rPr>
        <w:t xml:space="preserve">To measure </w:t>
      </w:r>
      <w:r w:rsidRPr="0071085D">
        <w:rPr>
          <w:i/>
          <w:lang w:val="en-CA"/>
        </w:rPr>
        <w:t>e</w:t>
      </w:r>
      <w:r w:rsidR="00800934" w:rsidRPr="0071085D">
        <w:rPr>
          <w:i/>
          <w:lang w:val="en-CA"/>
        </w:rPr>
        <w:t>arly</w:t>
      </w:r>
      <w:r w:rsidRPr="0071085D">
        <w:rPr>
          <w:i/>
          <w:lang w:val="en-CA"/>
        </w:rPr>
        <w:t xml:space="preserve"> sexual</w:t>
      </w:r>
      <w:r w:rsidR="00800934" w:rsidRPr="0071085D">
        <w:rPr>
          <w:i/>
          <w:lang w:val="en-CA"/>
        </w:rPr>
        <w:t xml:space="preserve"> </w:t>
      </w:r>
      <w:r w:rsidRPr="0071085D">
        <w:rPr>
          <w:i/>
          <w:lang w:val="en-CA"/>
        </w:rPr>
        <w:t>onset</w:t>
      </w:r>
      <w:r w:rsidRPr="0071085D">
        <w:rPr>
          <w:lang w:val="en-CA"/>
        </w:rPr>
        <w:t>, p</w:t>
      </w:r>
      <w:r w:rsidR="00800934" w:rsidRPr="0071085D">
        <w:rPr>
          <w:lang w:val="en-CA"/>
        </w:rPr>
        <w:t xml:space="preserve">articipants were asked how old they were </w:t>
      </w:r>
      <w:r w:rsidR="00D14634" w:rsidRPr="0071085D">
        <w:rPr>
          <w:lang w:val="en-CA"/>
        </w:rPr>
        <w:t>the first time</w:t>
      </w:r>
      <w:r w:rsidR="008B2D0C" w:rsidRPr="0071085D">
        <w:rPr>
          <w:lang w:val="en-CA"/>
        </w:rPr>
        <w:t xml:space="preserve"> they had consensual </w:t>
      </w:r>
      <w:r w:rsidR="00232A7B" w:rsidRPr="0071085D">
        <w:rPr>
          <w:lang w:val="en-CA"/>
        </w:rPr>
        <w:t>intercourse</w:t>
      </w:r>
      <w:r w:rsidR="00D14634" w:rsidRPr="0071085D">
        <w:rPr>
          <w:lang w:val="en-CA"/>
        </w:rPr>
        <w:t xml:space="preserve">. </w:t>
      </w:r>
      <w:r w:rsidR="00192505" w:rsidRPr="0071085D">
        <w:rPr>
          <w:lang w:val="en-CA"/>
        </w:rPr>
        <w:t xml:space="preserve">Only participants reporting first intercourse at age 15 or younger were given a score above 0, based on their level of sexual precocity computed in years (i.e. first intercourse at age 15 = 1; at age 14 = 2; prior to or at age 13 = 3). </w:t>
      </w:r>
      <w:r w:rsidR="00BC0138" w:rsidRPr="0071085D">
        <w:rPr>
          <w:lang w:val="en-CA"/>
        </w:rPr>
        <w:t>P</w:t>
      </w:r>
      <w:r w:rsidR="00D15C68" w:rsidRPr="0071085D">
        <w:rPr>
          <w:lang w:val="en-CA"/>
        </w:rPr>
        <w:t xml:space="preserve">articipants reporting </w:t>
      </w:r>
      <w:r w:rsidR="00192505" w:rsidRPr="0071085D">
        <w:rPr>
          <w:lang w:val="en-CA"/>
        </w:rPr>
        <w:t xml:space="preserve">either </w:t>
      </w:r>
      <w:r w:rsidR="00D15C68" w:rsidRPr="0071085D">
        <w:rPr>
          <w:lang w:val="en-CA"/>
        </w:rPr>
        <w:t xml:space="preserve">first intercourse at age 16 or older </w:t>
      </w:r>
      <w:r w:rsidR="00192505" w:rsidRPr="0071085D">
        <w:rPr>
          <w:lang w:val="en-CA"/>
        </w:rPr>
        <w:t xml:space="preserve">or </w:t>
      </w:r>
      <w:r w:rsidR="00D12EE0" w:rsidRPr="0071085D">
        <w:rPr>
          <w:lang w:val="en-CA"/>
        </w:rPr>
        <w:t>who</w:t>
      </w:r>
      <w:r w:rsidR="00E71B96" w:rsidRPr="0071085D">
        <w:rPr>
          <w:lang w:val="en-CA"/>
        </w:rPr>
        <w:t xml:space="preserve"> never engaged in intercourse </w:t>
      </w:r>
      <w:r w:rsidR="00D15C68" w:rsidRPr="0071085D">
        <w:rPr>
          <w:lang w:val="en-CA"/>
        </w:rPr>
        <w:t>were</w:t>
      </w:r>
      <w:r w:rsidR="00B217EA" w:rsidRPr="0071085D">
        <w:rPr>
          <w:lang w:val="en-CA"/>
        </w:rPr>
        <w:t xml:space="preserve"> given a score of </w:t>
      </w:r>
      <w:r w:rsidR="00E71B96" w:rsidRPr="0071085D">
        <w:rPr>
          <w:lang w:val="en-CA"/>
        </w:rPr>
        <w:t>0 (</w:t>
      </w:r>
      <w:r w:rsidR="005C0EA5" w:rsidRPr="0071085D">
        <w:rPr>
          <w:lang w:val="en-CA"/>
        </w:rPr>
        <w:t xml:space="preserve">i.e. </w:t>
      </w:r>
      <w:r w:rsidR="00E71B96" w:rsidRPr="0071085D">
        <w:rPr>
          <w:lang w:val="en-CA"/>
        </w:rPr>
        <w:t>no early sexual onset)</w:t>
      </w:r>
      <w:r w:rsidR="00232A7B" w:rsidRPr="0071085D">
        <w:rPr>
          <w:rStyle w:val="Appelnotedebasdep"/>
          <w:lang w:val="en-CA"/>
        </w:rPr>
        <w:footnoteReference w:id="5"/>
      </w:r>
      <w:r w:rsidR="00E71B96" w:rsidRPr="0071085D">
        <w:rPr>
          <w:lang w:val="en-CA"/>
        </w:rPr>
        <w:t>.</w:t>
      </w:r>
      <w:r w:rsidR="00D15C68" w:rsidRPr="0071085D">
        <w:rPr>
          <w:lang w:val="en-CA"/>
        </w:rPr>
        <w:t xml:space="preserve"> </w:t>
      </w:r>
      <w:r w:rsidR="00D14634" w:rsidRPr="0071085D">
        <w:rPr>
          <w:i/>
          <w:lang w:val="en-CA"/>
        </w:rPr>
        <w:t xml:space="preserve">(2) </w:t>
      </w:r>
      <w:r w:rsidR="00800934" w:rsidRPr="0071085D">
        <w:rPr>
          <w:lang w:val="en-CA"/>
        </w:rPr>
        <w:t xml:space="preserve">Participants </w:t>
      </w:r>
      <w:r w:rsidR="00F002F5" w:rsidRPr="0071085D">
        <w:rPr>
          <w:lang w:val="en-CA"/>
        </w:rPr>
        <w:t xml:space="preserve">also </w:t>
      </w:r>
      <w:r w:rsidR="007C0730" w:rsidRPr="0071085D">
        <w:rPr>
          <w:lang w:val="en-CA"/>
        </w:rPr>
        <w:t>reported</w:t>
      </w:r>
      <w:r w:rsidR="00800934" w:rsidRPr="0071085D">
        <w:rPr>
          <w:lang w:val="en-CA"/>
        </w:rPr>
        <w:t xml:space="preserve"> </w:t>
      </w:r>
      <w:r w:rsidR="00D42C9B" w:rsidRPr="0071085D">
        <w:rPr>
          <w:lang w:val="en-CA"/>
        </w:rPr>
        <w:t xml:space="preserve">on </w:t>
      </w:r>
      <w:r w:rsidR="007C0730" w:rsidRPr="0071085D">
        <w:rPr>
          <w:lang w:val="en-CA"/>
        </w:rPr>
        <w:t xml:space="preserve">their </w:t>
      </w:r>
      <w:r w:rsidR="007C0730" w:rsidRPr="0071085D">
        <w:rPr>
          <w:i/>
          <w:lang w:val="en-CA"/>
        </w:rPr>
        <w:t>lifetime number of</w:t>
      </w:r>
      <w:r w:rsidR="00800934" w:rsidRPr="0071085D">
        <w:rPr>
          <w:i/>
          <w:lang w:val="en-CA"/>
        </w:rPr>
        <w:t xml:space="preserve"> sexual partner</w:t>
      </w:r>
      <w:r w:rsidR="00EF288B" w:rsidRPr="0071085D">
        <w:rPr>
          <w:i/>
          <w:lang w:val="en-CA"/>
        </w:rPr>
        <w:t>s</w:t>
      </w:r>
      <w:r w:rsidR="007C0730" w:rsidRPr="0071085D">
        <w:rPr>
          <w:lang w:val="en-CA"/>
        </w:rPr>
        <w:t xml:space="preserve">. </w:t>
      </w:r>
      <w:r w:rsidR="00E0363B" w:rsidRPr="0071085D">
        <w:rPr>
          <w:lang w:val="en-CA"/>
        </w:rPr>
        <w:t xml:space="preserve">After </w:t>
      </w:r>
      <w:r w:rsidR="00A06C2E" w:rsidRPr="0071085D">
        <w:rPr>
          <w:lang w:val="en-CA"/>
        </w:rPr>
        <w:t>removing</w:t>
      </w:r>
      <w:r w:rsidR="00D42C9B" w:rsidRPr="0071085D">
        <w:rPr>
          <w:lang w:val="en-CA"/>
        </w:rPr>
        <w:t xml:space="preserve"> two</w:t>
      </w:r>
      <w:r w:rsidR="00E0363B" w:rsidRPr="0071085D">
        <w:rPr>
          <w:lang w:val="en-CA"/>
        </w:rPr>
        <w:t xml:space="preserve"> </w:t>
      </w:r>
      <w:r w:rsidR="00A06C2E" w:rsidRPr="0071085D">
        <w:rPr>
          <w:lang w:val="en-CA"/>
        </w:rPr>
        <w:t>outliers</w:t>
      </w:r>
      <w:r w:rsidR="00E0363B" w:rsidRPr="0071085D">
        <w:rPr>
          <w:lang w:val="en-CA"/>
        </w:rPr>
        <w:t xml:space="preserve"> </w:t>
      </w:r>
      <w:r w:rsidR="00D42C9B" w:rsidRPr="0071085D">
        <w:rPr>
          <w:lang w:val="en-CA"/>
        </w:rPr>
        <w:t xml:space="preserve">reporting </w:t>
      </w:r>
      <w:r w:rsidR="00FE6932" w:rsidRPr="0071085D">
        <w:rPr>
          <w:lang w:val="en-CA"/>
        </w:rPr>
        <w:t>1</w:t>
      </w:r>
      <w:r w:rsidR="00A06C2E" w:rsidRPr="0071085D">
        <w:rPr>
          <w:lang w:val="en-CA"/>
        </w:rPr>
        <w:t>,</w:t>
      </w:r>
      <w:r w:rsidR="00FE6932" w:rsidRPr="0071085D">
        <w:rPr>
          <w:lang w:val="en-CA"/>
        </w:rPr>
        <w:t xml:space="preserve">000 partners </w:t>
      </w:r>
      <w:r w:rsidR="005470BF" w:rsidRPr="0071085D">
        <w:rPr>
          <w:lang w:val="en-CA"/>
        </w:rPr>
        <w:t>and involvement in</w:t>
      </w:r>
      <w:r w:rsidR="00FE6932" w:rsidRPr="0071085D">
        <w:rPr>
          <w:lang w:val="en-CA"/>
        </w:rPr>
        <w:t xml:space="preserve"> sex work, the range was 0 to 300</w:t>
      </w:r>
      <w:r w:rsidR="00A06C2E" w:rsidRPr="0071085D">
        <w:rPr>
          <w:lang w:val="en-CA"/>
        </w:rPr>
        <w:t xml:space="preserve"> lifetime partners</w:t>
      </w:r>
      <w:r w:rsidR="00FE6932" w:rsidRPr="0071085D">
        <w:rPr>
          <w:lang w:val="en-CA"/>
        </w:rPr>
        <w:t>.</w:t>
      </w:r>
      <w:r w:rsidR="00E0363B" w:rsidRPr="0071085D">
        <w:rPr>
          <w:lang w:val="en-CA"/>
        </w:rPr>
        <w:t xml:space="preserve"> </w:t>
      </w:r>
      <w:r w:rsidR="00800934" w:rsidRPr="0071085D">
        <w:rPr>
          <w:lang w:val="en-CA"/>
        </w:rPr>
        <w:t>A logarithmic transformation was performed to meet normal distribution assumptions</w:t>
      </w:r>
      <w:r w:rsidR="009017B8" w:rsidRPr="0071085D">
        <w:rPr>
          <w:lang w:val="en-CA"/>
        </w:rPr>
        <w:t xml:space="preserve"> (range = </w:t>
      </w:r>
      <w:r w:rsidR="008B48E8" w:rsidRPr="0071085D">
        <w:rPr>
          <w:lang w:val="en-CA"/>
        </w:rPr>
        <w:t>0 to 2.48</w:t>
      </w:r>
      <w:r w:rsidR="008367DE" w:rsidRPr="0071085D">
        <w:rPr>
          <w:lang w:val="en-CA"/>
        </w:rPr>
        <w:t>)</w:t>
      </w:r>
      <w:r w:rsidR="00800934" w:rsidRPr="0071085D">
        <w:rPr>
          <w:lang w:val="en-CA"/>
        </w:rPr>
        <w:t>.</w:t>
      </w:r>
      <w:r w:rsidR="006916ED" w:rsidRPr="0071085D">
        <w:rPr>
          <w:lang w:val="en-CA"/>
        </w:rPr>
        <w:t xml:space="preserve"> </w:t>
      </w:r>
      <w:bookmarkStart w:id="6" w:name="_Hlk484637235"/>
      <w:r w:rsidR="00800934" w:rsidRPr="0071085D">
        <w:rPr>
          <w:i/>
          <w:lang w:val="en-CA"/>
        </w:rPr>
        <w:t xml:space="preserve">(3) </w:t>
      </w:r>
      <w:r w:rsidR="0047388E" w:rsidRPr="0071085D">
        <w:rPr>
          <w:lang w:val="en-CA"/>
        </w:rPr>
        <w:t xml:space="preserve">To assess </w:t>
      </w:r>
      <w:r w:rsidR="0047388E" w:rsidRPr="0071085D">
        <w:rPr>
          <w:i/>
          <w:lang w:val="en-CA"/>
        </w:rPr>
        <w:t>i</w:t>
      </w:r>
      <w:r w:rsidR="001160BB" w:rsidRPr="0071085D">
        <w:rPr>
          <w:i/>
          <w:lang w:val="en-CA"/>
        </w:rPr>
        <w:t>nconsistent</w:t>
      </w:r>
      <w:r w:rsidR="00800934" w:rsidRPr="0071085D">
        <w:rPr>
          <w:i/>
          <w:lang w:val="en-CA"/>
        </w:rPr>
        <w:t xml:space="preserve"> </w:t>
      </w:r>
      <w:proofErr w:type="gramStart"/>
      <w:r w:rsidR="00800934" w:rsidRPr="0071085D">
        <w:rPr>
          <w:i/>
          <w:lang w:val="en-CA"/>
        </w:rPr>
        <w:t>condom</w:t>
      </w:r>
      <w:proofErr w:type="gramEnd"/>
      <w:r w:rsidR="00800934" w:rsidRPr="0071085D">
        <w:rPr>
          <w:i/>
          <w:lang w:val="en-CA"/>
        </w:rPr>
        <w:t xml:space="preserve"> use</w:t>
      </w:r>
      <w:r w:rsidR="00A06C2E" w:rsidRPr="0071085D">
        <w:rPr>
          <w:i/>
          <w:lang w:val="en-CA"/>
        </w:rPr>
        <w:t xml:space="preserve"> </w:t>
      </w:r>
      <w:r w:rsidR="00A06C2E" w:rsidRPr="0071085D">
        <w:rPr>
          <w:lang w:val="en-CA"/>
        </w:rPr>
        <w:t>throughout the last year</w:t>
      </w:r>
      <w:r w:rsidR="0047388E" w:rsidRPr="0071085D">
        <w:rPr>
          <w:lang w:val="en-CA"/>
        </w:rPr>
        <w:t>,</w:t>
      </w:r>
      <w:r w:rsidR="0047388E" w:rsidRPr="0071085D">
        <w:rPr>
          <w:i/>
          <w:lang w:val="en-CA"/>
        </w:rPr>
        <w:t xml:space="preserve"> </w:t>
      </w:r>
      <w:r w:rsidR="0047388E" w:rsidRPr="0071085D">
        <w:rPr>
          <w:lang w:val="en-CA"/>
        </w:rPr>
        <w:t>p</w:t>
      </w:r>
      <w:r w:rsidR="00800934" w:rsidRPr="0071085D">
        <w:rPr>
          <w:lang w:val="en-CA"/>
        </w:rPr>
        <w:t xml:space="preserve">articipants were asked whether they have had </w:t>
      </w:r>
      <w:r w:rsidR="0057021F" w:rsidRPr="0071085D">
        <w:rPr>
          <w:lang w:val="en-CA"/>
        </w:rPr>
        <w:t xml:space="preserve">vaginal and/or anal </w:t>
      </w:r>
      <w:r w:rsidR="00A06C2E" w:rsidRPr="0071085D">
        <w:rPr>
          <w:lang w:val="en-CA"/>
        </w:rPr>
        <w:t xml:space="preserve">intercourse </w:t>
      </w:r>
      <w:r w:rsidR="00800934" w:rsidRPr="0071085D">
        <w:rPr>
          <w:lang w:val="en-CA"/>
        </w:rPr>
        <w:t xml:space="preserve">with a </w:t>
      </w:r>
      <w:r w:rsidR="001A0D89" w:rsidRPr="0071085D">
        <w:rPr>
          <w:lang w:val="en-CA"/>
        </w:rPr>
        <w:t xml:space="preserve">committed </w:t>
      </w:r>
      <w:r w:rsidR="00800934" w:rsidRPr="0071085D">
        <w:rPr>
          <w:lang w:val="en-CA"/>
        </w:rPr>
        <w:t>partner</w:t>
      </w:r>
      <w:r w:rsidR="0057021F" w:rsidRPr="0071085D">
        <w:rPr>
          <w:lang w:val="en-CA"/>
        </w:rPr>
        <w:t>,</w:t>
      </w:r>
      <w:r w:rsidR="00800934" w:rsidRPr="0071085D">
        <w:rPr>
          <w:lang w:val="en-CA"/>
        </w:rPr>
        <w:t xml:space="preserve"> as well as with a casual </w:t>
      </w:r>
      <w:r w:rsidR="00800934" w:rsidRPr="0071085D">
        <w:rPr>
          <w:lang w:val="en-CA"/>
        </w:rPr>
        <w:lastRenderedPageBreak/>
        <w:t>partner</w:t>
      </w:r>
      <w:r w:rsidR="006E72BE" w:rsidRPr="0071085D">
        <w:rPr>
          <w:lang w:val="en-CA"/>
        </w:rPr>
        <w:t>. They were then asked</w:t>
      </w:r>
      <w:r w:rsidR="0057021F" w:rsidRPr="0071085D">
        <w:rPr>
          <w:lang w:val="en-CA"/>
        </w:rPr>
        <w:t xml:space="preserve"> to </w:t>
      </w:r>
      <w:r w:rsidR="00800934" w:rsidRPr="0071085D">
        <w:rPr>
          <w:lang w:val="en-CA"/>
        </w:rPr>
        <w:t xml:space="preserve">report how often, during the last year, they </w:t>
      </w:r>
      <w:r w:rsidR="00AE2441" w:rsidRPr="0071085D">
        <w:rPr>
          <w:lang w:val="en-CA"/>
        </w:rPr>
        <w:t xml:space="preserve">have </w:t>
      </w:r>
      <w:r w:rsidR="00800934" w:rsidRPr="0071085D">
        <w:rPr>
          <w:lang w:val="en-CA"/>
        </w:rPr>
        <w:t xml:space="preserve">used a condom with </w:t>
      </w:r>
      <w:r w:rsidR="001A0D89" w:rsidRPr="0071085D">
        <w:rPr>
          <w:lang w:val="en-CA"/>
        </w:rPr>
        <w:t xml:space="preserve">committed </w:t>
      </w:r>
      <w:r w:rsidR="00AE2441" w:rsidRPr="0071085D">
        <w:rPr>
          <w:lang w:val="en-CA"/>
        </w:rPr>
        <w:t xml:space="preserve">and casual </w:t>
      </w:r>
      <w:r w:rsidR="00800934" w:rsidRPr="0071085D">
        <w:rPr>
          <w:lang w:val="en-CA"/>
        </w:rPr>
        <w:t>partners</w:t>
      </w:r>
      <w:r w:rsidR="0057021F" w:rsidRPr="0071085D">
        <w:rPr>
          <w:lang w:val="en-CA"/>
        </w:rPr>
        <w:t>,</w:t>
      </w:r>
      <w:r w:rsidR="00800934" w:rsidRPr="0071085D">
        <w:rPr>
          <w:lang w:val="en-CA"/>
        </w:rPr>
        <w:t xml:space="preserve"> </w:t>
      </w:r>
      <w:r w:rsidR="001A0D89" w:rsidRPr="0071085D">
        <w:rPr>
          <w:lang w:val="en-CA"/>
        </w:rPr>
        <w:t>respectively</w:t>
      </w:r>
      <w:r w:rsidR="00800934" w:rsidRPr="0071085D">
        <w:rPr>
          <w:lang w:val="en-CA"/>
        </w:rPr>
        <w:t xml:space="preserve">. Responses were given </w:t>
      </w:r>
      <w:r w:rsidR="00AE2441" w:rsidRPr="0071085D">
        <w:rPr>
          <w:lang w:val="en-CA"/>
        </w:rPr>
        <w:t xml:space="preserve">using </w:t>
      </w:r>
      <w:r w:rsidR="00800934" w:rsidRPr="0071085D">
        <w:rPr>
          <w:lang w:val="en-CA"/>
        </w:rPr>
        <w:t>a 4-point Likert scale, ranging from “never” to “every time”</w:t>
      </w:r>
      <w:r w:rsidR="0057021F" w:rsidRPr="0071085D">
        <w:rPr>
          <w:lang w:val="en-CA"/>
        </w:rPr>
        <w:t>. Patterns of responses were</w:t>
      </w:r>
      <w:r w:rsidR="00554558" w:rsidRPr="0071085D">
        <w:rPr>
          <w:lang w:val="en-CA"/>
        </w:rPr>
        <w:t xml:space="preserve"> </w:t>
      </w:r>
      <w:r w:rsidR="00800934" w:rsidRPr="0071085D">
        <w:rPr>
          <w:lang w:val="en-CA"/>
        </w:rPr>
        <w:t xml:space="preserve">recoded into four categories: </w:t>
      </w:r>
      <w:r w:rsidR="0047388E" w:rsidRPr="0071085D">
        <w:rPr>
          <w:lang w:val="en-CA"/>
        </w:rPr>
        <w:t>no</w:t>
      </w:r>
      <w:r w:rsidR="00800934" w:rsidRPr="0071085D">
        <w:rPr>
          <w:lang w:val="en-CA"/>
        </w:rPr>
        <w:t xml:space="preserve"> intercourse </w:t>
      </w:r>
      <w:r w:rsidR="0047388E" w:rsidRPr="0071085D">
        <w:rPr>
          <w:lang w:val="en-CA"/>
        </w:rPr>
        <w:t xml:space="preserve">in the </w:t>
      </w:r>
      <w:r w:rsidR="00800934" w:rsidRPr="0071085D">
        <w:rPr>
          <w:lang w:val="en-CA"/>
        </w:rPr>
        <w:t>last year</w:t>
      </w:r>
      <w:r w:rsidR="008477A0" w:rsidRPr="0071085D">
        <w:rPr>
          <w:lang w:val="en-CA"/>
        </w:rPr>
        <w:t xml:space="preserve"> </w:t>
      </w:r>
      <w:r w:rsidR="0047388E" w:rsidRPr="0071085D">
        <w:rPr>
          <w:lang w:val="en-CA"/>
        </w:rPr>
        <w:t>= 0</w:t>
      </w:r>
      <w:r w:rsidR="00D1178C" w:rsidRPr="0071085D">
        <w:rPr>
          <w:lang w:val="en-CA"/>
        </w:rPr>
        <w:t>;</w:t>
      </w:r>
      <w:r w:rsidR="0047388E" w:rsidRPr="0071085D">
        <w:rPr>
          <w:lang w:val="en-CA"/>
        </w:rPr>
        <w:t xml:space="preserve"> </w:t>
      </w:r>
      <w:r w:rsidR="00800934" w:rsidRPr="0071085D">
        <w:rPr>
          <w:lang w:val="en-CA"/>
        </w:rPr>
        <w:t>consistent condom</w:t>
      </w:r>
      <w:r w:rsidR="0057021F" w:rsidRPr="0071085D">
        <w:rPr>
          <w:lang w:val="en-CA"/>
        </w:rPr>
        <w:t xml:space="preserve"> use</w:t>
      </w:r>
      <w:r w:rsidR="00800934" w:rsidRPr="0071085D">
        <w:rPr>
          <w:lang w:val="en-CA"/>
        </w:rPr>
        <w:t xml:space="preserve"> </w:t>
      </w:r>
      <w:r w:rsidR="0047388E" w:rsidRPr="0071085D">
        <w:rPr>
          <w:lang w:val="en-CA"/>
        </w:rPr>
        <w:t>= 1</w:t>
      </w:r>
      <w:r w:rsidR="00D1178C" w:rsidRPr="0071085D">
        <w:rPr>
          <w:lang w:val="en-CA"/>
        </w:rPr>
        <w:t xml:space="preserve">; </w:t>
      </w:r>
      <w:r w:rsidR="00800934" w:rsidRPr="0071085D">
        <w:rPr>
          <w:lang w:val="en-CA"/>
        </w:rPr>
        <w:t xml:space="preserve">inconsistent </w:t>
      </w:r>
      <w:r w:rsidR="008367DE" w:rsidRPr="0071085D">
        <w:rPr>
          <w:lang w:val="en-CA"/>
        </w:rPr>
        <w:t xml:space="preserve">condom </w:t>
      </w:r>
      <w:r w:rsidR="00800934" w:rsidRPr="0071085D">
        <w:rPr>
          <w:lang w:val="en-CA"/>
        </w:rPr>
        <w:t xml:space="preserve">use with </w:t>
      </w:r>
      <w:r w:rsidR="001A0D89" w:rsidRPr="0071085D">
        <w:rPr>
          <w:lang w:val="en-CA"/>
        </w:rPr>
        <w:t xml:space="preserve">committed </w:t>
      </w:r>
      <w:r w:rsidR="00800934" w:rsidRPr="0071085D">
        <w:rPr>
          <w:lang w:val="en-CA"/>
        </w:rPr>
        <w:t>partners</w:t>
      </w:r>
      <w:r w:rsidR="00D1178C" w:rsidRPr="0071085D">
        <w:rPr>
          <w:lang w:val="en-CA"/>
        </w:rPr>
        <w:t xml:space="preserve"> and/or consistent use of condoms with casual partners</w:t>
      </w:r>
      <w:r w:rsidR="0047388E" w:rsidRPr="0071085D">
        <w:rPr>
          <w:lang w:val="en-CA"/>
        </w:rPr>
        <w:t xml:space="preserve"> = 2; </w:t>
      </w:r>
      <w:r w:rsidR="00374857" w:rsidRPr="0071085D">
        <w:rPr>
          <w:lang w:val="en-CA"/>
        </w:rPr>
        <w:t xml:space="preserve">consistent condom use with </w:t>
      </w:r>
      <w:r w:rsidR="001A0D89" w:rsidRPr="0071085D">
        <w:rPr>
          <w:lang w:val="en-CA"/>
        </w:rPr>
        <w:t xml:space="preserve">committed </w:t>
      </w:r>
      <w:r w:rsidR="00374857" w:rsidRPr="0071085D">
        <w:rPr>
          <w:lang w:val="en-CA"/>
        </w:rPr>
        <w:t xml:space="preserve">partners and </w:t>
      </w:r>
      <w:r w:rsidR="00800934" w:rsidRPr="0071085D">
        <w:rPr>
          <w:lang w:val="en-CA"/>
        </w:rPr>
        <w:t xml:space="preserve">inconsistent </w:t>
      </w:r>
      <w:r w:rsidR="008367DE" w:rsidRPr="0071085D">
        <w:rPr>
          <w:lang w:val="en-CA"/>
        </w:rPr>
        <w:t xml:space="preserve">condom </w:t>
      </w:r>
      <w:r w:rsidR="00800934" w:rsidRPr="0071085D">
        <w:rPr>
          <w:lang w:val="en-CA"/>
        </w:rPr>
        <w:t xml:space="preserve">use with casual partners </w:t>
      </w:r>
      <w:r w:rsidR="0047388E" w:rsidRPr="0071085D">
        <w:rPr>
          <w:lang w:val="en-CA"/>
        </w:rPr>
        <w:t>= 3</w:t>
      </w:r>
      <w:r w:rsidR="00D1178C" w:rsidRPr="0071085D">
        <w:rPr>
          <w:lang w:val="en-CA"/>
        </w:rPr>
        <w:t>;</w:t>
      </w:r>
      <w:r w:rsidR="0047388E" w:rsidRPr="0071085D">
        <w:rPr>
          <w:lang w:val="en-CA"/>
        </w:rPr>
        <w:t xml:space="preserve"> and</w:t>
      </w:r>
      <w:r w:rsidR="00800934" w:rsidRPr="0071085D">
        <w:rPr>
          <w:lang w:val="en-CA"/>
        </w:rPr>
        <w:t xml:space="preserve"> inconsistent </w:t>
      </w:r>
      <w:r w:rsidR="008367DE" w:rsidRPr="0071085D">
        <w:rPr>
          <w:lang w:val="en-CA"/>
        </w:rPr>
        <w:t xml:space="preserve">condom </w:t>
      </w:r>
      <w:r w:rsidR="00800934" w:rsidRPr="0071085D">
        <w:rPr>
          <w:lang w:val="en-CA"/>
        </w:rPr>
        <w:t xml:space="preserve">use with </w:t>
      </w:r>
      <w:r w:rsidR="00374857" w:rsidRPr="0071085D">
        <w:rPr>
          <w:lang w:val="en-CA"/>
        </w:rPr>
        <w:t xml:space="preserve">both </w:t>
      </w:r>
      <w:r w:rsidR="00800934" w:rsidRPr="0071085D">
        <w:rPr>
          <w:lang w:val="en-CA"/>
        </w:rPr>
        <w:t xml:space="preserve">casual and </w:t>
      </w:r>
      <w:r w:rsidR="001A0D89" w:rsidRPr="0071085D">
        <w:rPr>
          <w:lang w:val="en-CA"/>
        </w:rPr>
        <w:t xml:space="preserve">committed </w:t>
      </w:r>
      <w:r w:rsidR="00800934" w:rsidRPr="0071085D">
        <w:rPr>
          <w:lang w:val="en-CA"/>
        </w:rPr>
        <w:t>partners</w:t>
      </w:r>
      <w:r w:rsidR="00D1178C" w:rsidRPr="0071085D">
        <w:rPr>
          <w:lang w:val="en-CA"/>
        </w:rPr>
        <w:t xml:space="preserve"> </w:t>
      </w:r>
      <w:r w:rsidR="0047388E" w:rsidRPr="0071085D">
        <w:rPr>
          <w:lang w:val="en-CA"/>
        </w:rPr>
        <w:t>= 4</w:t>
      </w:r>
      <w:r w:rsidR="00800934" w:rsidRPr="0071085D">
        <w:rPr>
          <w:lang w:val="en-CA"/>
        </w:rPr>
        <w:t>.</w:t>
      </w:r>
      <w:r w:rsidR="00D1178C" w:rsidRPr="0071085D">
        <w:rPr>
          <w:lang w:val="en-CA"/>
        </w:rPr>
        <w:t xml:space="preserve"> </w:t>
      </w:r>
      <w:bookmarkEnd w:id="6"/>
      <w:r w:rsidR="00800934" w:rsidRPr="0071085D">
        <w:rPr>
          <w:i/>
          <w:lang w:val="en-CA"/>
        </w:rPr>
        <w:t xml:space="preserve">(4) </w:t>
      </w:r>
      <w:r w:rsidR="0047388E" w:rsidRPr="0071085D">
        <w:rPr>
          <w:lang w:val="en-CA"/>
        </w:rPr>
        <w:t xml:space="preserve">To measure </w:t>
      </w:r>
      <w:r w:rsidR="002417DE" w:rsidRPr="0071085D">
        <w:rPr>
          <w:i/>
          <w:lang w:val="en-CA"/>
        </w:rPr>
        <w:t>unconventional sexual behaviors</w:t>
      </w:r>
      <w:r w:rsidR="0047388E" w:rsidRPr="0071085D">
        <w:rPr>
          <w:lang w:val="en-CA"/>
        </w:rPr>
        <w:t>,</w:t>
      </w:r>
      <w:r w:rsidR="0047388E" w:rsidRPr="0071085D">
        <w:rPr>
          <w:i/>
          <w:lang w:val="en-CA"/>
        </w:rPr>
        <w:t xml:space="preserve"> </w:t>
      </w:r>
      <w:r w:rsidR="0047388E" w:rsidRPr="0071085D">
        <w:rPr>
          <w:lang w:val="en-CA"/>
        </w:rPr>
        <w:t>p</w:t>
      </w:r>
      <w:r w:rsidR="00800934" w:rsidRPr="0071085D">
        <w:rPr>
          <w:lang w:val="en-CA"/>
        </w:rPr>
        <w:t>articipants were asked if the</w:t>
      </w:r>
      <w:r w:rsidR="00D1178C" w:rsidRPr="0071085D">
        <w:rPr>
          <w:lang w:val="en-CA"/>
        </w:rPr>
        <w:t xml:space="preserve">y </w:t>
      </w:r>
      <w:r w:rsidR="001A0D89" w:rsidRPr="0071085D">
        <w:rPr>
          <w:lang w:val="en-CA"/>
        </w:rPr>
        <w:t xml:space="preserve">had </w:t>
      </w:r>
      <w:r w:rsidR="00D1178C" w:rsidRPr="0071085D">
        <w:rPr>
          <w:lang w:val="en-CA"/>
        </w:rPr>
        <w:t xml:space="preserve">ever experienced </w:t>
      </w:r>
      <w:r w:rsidR="00800934" w:rsidRPr="0071085D">
        <w:rPr>
          <w:lang w:val="en-CA"/>
        </w:rPr>
        <w:t>bondage</w:t>
      </w:r>
      <w:r w:rsidR="0047388E" w:rsidRPr="0071085D">
        <w:rPr>
          <w:lang w:val="en-CA"/>
        </w:rPr>
        <w:t>,</w:t>
      </w:r>
      <w:r w:rsidR="00D1178C" w:rsidRPr="0071085D">
        <w:rPr>
          <w:lang w:val="en-CA"/>
        </w:rPr>
        <w:t xml:space="preserve"> </w:t>
      </w:r>
      <w:r w:rsidR="00800934" w:rsidRPr="0071085D">
        <w:rPr>
          <w:lang w:val="en-CA"/>
        </w:rPr>
        <w:t xml:space="preserve">fisting, </w:t>
      </w:r>
      <w:r w:rsidR="00C07E1C" w:rsidRPr="0071085D">
        <w:rPr>
          <w:lang w:val="en-CA"/>
        </w:rPr>
        <w:t>group</w:t>
      </w:r>
      <w:r w:rsidR="00902DA7" w:rsidRPr="0071085D">
        <w:rPr>
          <w:lang w:val="en-CA"/>
        </w:rPr>
        <w:t xml:space="preserve"> </w:t>
      </w:r>
      <w:r w:rsidR="00800934" w:rsidRPr="0071085D">
        <w:rPr>
          <w:lang w:val="en-CA"/>
        </w:rPr>
        <w:t xml:space="preserve">sex, </w:t>
      </w:r>
      <w:r w:rsidR="00902DA7" w:rsidRPr="0071085D">
        <w:rPr>
          <w:lang w:val="en-CA"/>
        </w:rPr>
        <w:t xml:space="preserve">or </w:t>
      </w:r>
      <w:r w:rsidR="00D1178C" w:rsidRPr="0071085D">
        <w:rPr>
          <w:lang w:val="en-CA"/>
        </w:rPr>
        <w:t>sadomasochism</w:t>
      </w:r>
      <w:r w:rsidR="00800934" w:rsidRPr="0071085D">
        <w:rPr>
          <w:lang w:val="en-CA"/>
        </w:rPr>
        <w:t xml:space="preserve">. </w:t>
      </w:r>
      <w:r w:rsidR="00D1178C" w:rsidRPr="0071085D">
        <w:rPr>
          <w:lang w:val="en-CA"/>
        </w:rPr>
        <w:t xml:space="preserve">The different types of </w:t>
      </w:r>
      <w:r w:rsidR="005A3BFC" w:rsidRPr="0071085D">
        <w:rPr>
          <w:lang w:val="en-CA"/>
        </w:rPr>
        <w:t xml:space="preserve">unconventional sexual behaviors </w:t>
      </w:r>
      <w:r w:rsidR="00D1178C" w:rsidRPr="0071085D">
        <w:rPr>
          <w:lang w:val="en-CA"/>
        </w:rPr>
        <w:t>experienced w</w:t>
      </w:r>
      <w:r w:rsidR="00374857" w:rsidRPr="0071085D">
        <w:rPr>
          <w:lang w:val="en-CA"/>
        </w:rPr>
        <w:t>ere</w:t>
      </w:r>
      <w:r w:rsidR="00D1178C" w:rsidRPr="0071085D">
        <w:rPr>
          <w:lang w:val="en-CA"/>
        </w:rPr>
        <w:t xml:space="preserve"> summed </w:t>
      </w:r>
      <w:r w:rsidR="001A0D89" w:rsidRPr="0071085D">
        <w:rPr>
          <w:lang w:val="en-CA"/>
        </w:rPr>
        <w:t xml:space="preserve">(range = </w:t>
      </w:r>
      <w:r w:rsidR="00D1178C" w:rsidRPr="0071085D">
        <w:rPr>
          <w:lang w:val="en-CA"/>
        </w:rPr>
        <w:t>0</w:t>
      </w:r>
      <w:r w:rsidR="001A0D89" w:rsidRPr="0071085D">
        <w:rPr>
          <w:lang w:val="en-CA"/>
        </w:rPr>
        <w:t xml:space="preserve"> to </w:t>
      </w:r>
      <w:r w:rsidR="00D1178C" w:rsidRPr="0071085D">
        <w:rPr>
          <w:lang w:val="en-CA"/>
        </w:rPr>
        <w:t>4</w:t>
      </w:r>
      <w:r w:rsidR="001A0D89" w:rsidRPr="0071085D">
        <w:rPr>
          <w:lang w:val="en-CA"/>
        </w:rPr>
        <w:t>)</w:t>
      </w:r>
      <w:r w:rsidR="00F02C89" w:rsidRPr="0071085D">
        <w:rPr>
          <w:lang w:val="en-CA"/>
        </w:rPr>
        <w:t>.</w:t>
      </w:r>
      <w:r w:rsidR="00207F38" w:rsidRPr="0071085D">
        <w:rPr>
          <w:lang w:val="en-CA"/>
        </w:rPr>
        <w:t xml:space="preserve"> </w:t>
      </w:r>
      <w:r w:rsidR="00800934" w:rsidRPr="0071085D">
        <w:rPr>
          <w:i/>
          <w:lang w:val="en-CA"/>
        </w:rPr>
        <w:t xml:space="preserve">(5) </w:t>
      </w:r>
      <w:r w:rsidR="00DB250C" w:rsidRPr="0071085D">
        <w:rPr>
          <w:lang w:val="en-CA"/>
        </w:rPr>
        <w:t xml:space="preserve">To measure </w:t>
      </w:r>
      <w:r w:rsidR="00DB250C" w:rsidRPr="0071085D">
        <w:rPr>
          <w:i/>
          <w:lang w:val="en-CA"/>
        </w:rPr>
        <w:t>b</w:t>
      </w:r>
      <w:r w:rsidR="00800934" w:rsidRPr="0071085D">
        <w:rPr>
          <w:i/>
          <w:lang w:val="en-CA"/>
        </w:rPr>
        <w:t>inge</w:t>
      </w:r>
      <w:r w:rsidR="001A0D89" w:rsidRPr="0071085D">
        <w:rPr>
          <w:i/>
          <w:lang w:val="en-CA"/>
        </w:rPr>
        <w:t xml:space="preserve"> </w:t>
      </w:r>
      <w:r w:rsidR="00DB250C" w:rsidRPr="0071085D">
        <w:rPr>
          <w:i/>
          <w:lang w:val="en-CA"/>
        </w:rPr>
        <w:t xml:space="preserve">drinking, </w:t>
      </w:r>
      <w:r w:rsidR="00DB250C" w:rsidRPr="0071085D">
        <w:rPr>
          <w:lang w:val="en-CA"/>
        </w:rPr>
        <w:t>p</w:t>
      </w:r>
      <w:r w:rsidR="00800934" w:rsidRPr="0071085D">
        <w:rPr>
          <w:lang w:val="en-CA"/>
        </w:rPr>
        <w:t xml:space="preserve">articipants </w:t>
      </w:r>
      <w:r w:rsidR="00DB250C" w:rsidRPr="0071085D">
        <w:rPr>
          <w:lang w:val="en-CA"/>
        </w:rPr>
        <w:t>reported</w:t>
      </w:r>
      <w:r w:rsidR="00800934" w:rsidRPr="0071085D">
        <w:rPr>
          <w:lang w:val="en-CA"/>
        </w:rPr>
        <w:t xml:space="preserve"> how many times they consumed five drinks or more </w:t>
      </w:r>
      <w:proofErr w:type="gramStart"/>
      <w:r w:rsidR="00800934" w:rsidRPr="0071085D">
        <w:rPr>
          <w:lang w:val="en-CA"/>
        </w:rPr>
        <w:t>in</w:t>
      </w:r>
      <w:proofErr w:type="gramEnd"/>
      <w:r w:rsidR="00800934" w:rsidRPr="0071085D">
        <w:rPr>
          <w:lang w:val="en-CA"/>
        </w:rPr>
        <w:t xml:space="preserve"> one occasion</w:t>
      </w:r>
      <w:r w:rsidR="000B7B01" w:rsidRPr="0071085D">
        <w:rPr>
          <w:lang w:val="en-CA"/>
        </w:rPr>
        <w:t xml:space="preserve"> over the last year</w:t>
      </w:r>
      <w:r w:rsidR="00800934" w:rsidRPr="0071085D">
        <w:rPr>
          <w:lang w:val="en-CA"/>
        </w:rPr>
        <w:t xml:space="preserve">. </w:t>
      </w:r>
      <w:r w:rsidR="00FE6932" w:rsidRPr="0071085D">
        <w:rPr>
          <w:lang w:val="en-CA"/>
        </w:rPr>
        <w:t xml:space="preserve">After </w:t>
      </w:r>
      <w:r w:rsidR="00902DA7" w:rsidRPr="0071085D">
        <w:rPr>
          <w:lang w:val="en-CA"/>
        </w:rPr>
        <w:t>removing</w:t>
      </w:r>
      <w:r w:rsidR="00FE6932" w:rsidRPr="0071085D">
        <w:rPr>
          <w:lang w:val="en-CA"/>
        </w:rPr>
        <w:t xml:space="preserve"> </w:t>
      </w:r>
      <w:r w:rsidR="00902DA7" w:rsidRPr="0071085D">
        <w:rPr>
          <w:lang w:val="en-CA"/>
        </w:rPr>
        <w:t>one outlier</w:t>
      </w:r>
      <w:r w:rsidR="00FE6932" w:rsidRPr="0071085D">
        <w:rPr>
          <w:lang w:val="en-CA"/>
        </w:rPr>
        <w:t xml:space="preserve"> reporting 250 </w:t>
      </w:r>
      <w:r w:rsidR="00FC09A0" w:rsidRPr="0071085D">
        <w:rPr>
          <w:lang w:val="en-CA"/>
        </w:rPr>
        <w:t>binge drinking</w:t>
      </w:r>
      <w:r w:rsidR="00FE6932" w:rsidRPr="0071085D">
        <w:rPr>
          <w:lang w:val="en-CA"/>
        </w:rPr>
        <w:t xml:space="preserve"> episodes, the range was 0 to 220. </w:t>
      </w:r>
      <w:r w:rsidR="009D0AF2" w:rsidRPr="0071085D">
        <w:rPr>
          <w:lang w:val="en-CA"/>
        </w:rPr>
        <w:t xml:space="preserve">A </w:t>
      </w:r>
      <w:r w:rsidR="00B86532" w:rsidRPr="0071085D">
        <w:rPr>
          <w:lang w:val="en-CA"/>
        </w:rPr>
        <w:t>logarithmic</w:t>
      </w:r>
      <w:r w:rsidR="00FE6932" w:rsidRPr="0071085D">
        <w:rPr>
          <w:lang w:val="en-CA"/>
        </w:rPr>
        <w:t xml:space="preserve"> transformation was performed</w:t>
      </w:r>
      <w:r w:rsidR="00BF5993" w:rsidRPr="0071085D">
        <w:rPr>
          <w:lang w:val="en-CA"/>
        </w:rPr>
        <w:t>, with transformed scores ranging from</w:t>
      </w:r>
      <w:r w:rsidR="00BF5993" w:rsidRPr="0071085D">
        <w:rPr>
          <w:rStyle w:val="Marquedecommentaire"/>
          <w:lang w:val="en-US"/>
        </w:rPr>
        <w:t xml:space="preserve"> </w:t>
      </w:r>
      <w:r w:rsidR="008B48E8" w:rsidRPr="0071085D">
        <w:rPr>
          <w:lang w:val="en-CA"/>
        </w:rPr>
        <w:t>0 to 2.34.</w:t>
      </w:r>
      <w:r w:rsidR="008B48E8" w:rsidRPr="0071085D">
        <w:rPr>
          <w:i/>
          <w:lang w:val="en-CA"/>
        </w:rPr>
        <w:t xml:space="preserve"> </w:t>
      </w:r>
      <w:r w:rsidR="00800934" w:rsidRPr="0071085D">
        <w:rPr>
          <w:i/>
          <w:lang w:val="en-CA"/>
        </w:rPr>
        <w:t>(6)</w:t>
      </w:r>
      <w:r w:rsidR="00DB250C" w:rsidRPr="0071085D">
        <w:rPr>
          <w:i/>
          <w:lang w:val="en-CA"/>
        </w:rPr>
        <w:t xml:space="preserve"> </w:t>
      </w:r>
      <w:r w:rsidR="00DB250C" w:rsidRPr="0071085D">
        <w:rPr>
          <w:lang w:val="en-CA"/>
        </w:rPr>
        <w:t>To measure</w:t>
      </w:r>
      <w:r w:rsidR="00800934" w:rsidRPr="0071085D">
        <w:rPr>
          <w:i/>
          <w:lang w:val="en-CA"/>
        </w:rPr>
        <w:t xml:space="preserve"> </w:t>
      </w:r>
      <w:r w:rsidR="00DB250C" w:rsidRPr="0071085D">
        <w:rPr>
          <w:i/>
          <w:lang w:val="en-CA"/>
        </w:rPr>
        <w:t>p</w:t>
      </w:r>
      <w:r w:rsidR="00AD32C7" w:rsidRPr="0071085D">
        <w:rPr>
          <w:i/>
          <w:lang w:val="en-CA"/>
        </w:rPr>
        <w:t>oly</w:t>
      </w:r>
      <w:r w:rsidR="00800934" w:rsidRPr="0071085D">
        <w:rPr>
          <w:i/>
          <w:lang w:val="en-CA"/>
        </w:rPr>
        <w:t>substance</w:t>
      </w:r>
      <w:r w:rsidR="00AD32C7" w:rsidRPr="0071085D">
        <w:rPr>
          <w:i/>
          <w:lang w:val="en-CA"/>
        </w:rPr>
        <w:t xml:space="preserve"> use</w:t>
      </w:r>
      <w:r w:rsidR="00DB250C" w:rsidRPr="0071085D">
        <w:rPr>
          <w:i/>
          <w:lang w:val="en-CA"/>
        </w:rPr>
        <w:t>,</w:t>
      </w:r>
      <w:r w:rsidR="00800934" w:rsidRPr="0071085D">
        <w:rPr>
          <w:i/>
          <w:lang w:val="en-CA"/>
        </w:rPr>
        <w:t xml:space="preserve"> </w:t>
      </w:r>
      <w:r w:rsidR="00DB250C" w:rsidRPr="0071085D">
        <w:rPr>
          <w:lang w:val="en-CA"/>
        </w:rPr>
        <w:t>p</w:t>
      </w:r>
      <w:r w:rsidR="00800934" w:rsidRPr="0071085D">
        <w:rPr>
          <w:lang w:val="en-CA"/>
        </w:rPr>
        <w:t xml:space="preserve">articipants were </w:t>
      </w:r>
      <w:r w:rsidR="00DB250C" w:rsidRPr="0071085D">
        <w:rPr>
          <w:lang w:val="en-CA"/>
        </w:rPr>
        <w:t xml:space="preserve">presented with a list of </w:t>
      </w:r>
      <w:r w:rsidR="00FC6ADA" w:rsidRPr="0071085D">
        <w:rPr>
          <w:lang w:val="en-CA"/>
        </w:rPr>
        <w:t xml:space="preserve">the </w:t>
      </w:r>
      <w:r w:rsidR="00DB250C" w:rsidRPr="0071085D">
        <w:rPr>
          <w:lang w:val="en-CA"/>
        </w:rPr>
        <w:t xml:space="preserve">seventeen </w:t>
      </w:r>
      <w:r w:rsidR="00FC6ADA" w:rsidRPr="0071085D">
        <w:rPr>
          <w:lang w:val="en-CA"/>
        </w:rPr>
        <w:t xml:space="preserve">most common </w:t>
      </w:r>
      <w:r w:rsidR="00DB250C" w:rsidRPr="0071085D">
        <w:rPr>
          <w:lang w:val="en-CA"/>
        </w:rPr>
        <w:t xml:space="preserve">substances </w:t>
      </w:r>
      <w:r w:rsidR="00FC6ADA" w:rsidRPr="0071085D">
        <w:rPr>
          <w:lang w:val="en-CA"/>
        </w:rPr>
        <w:t xml:space="preserve">(e.g., marijuana, ecstasy), </w:t>
      </w:r>
      <w:r w:rsidR="00DB250C" w:rsidRPr="0071085D">
        <w:rPr>
          <w:lang w:val="en-CA"/>
        </w:rPr>
        <w:t>a</w:t>
      </w:r>
      <w:r w:rsidR="00FC6ADA" w:rsidRPr="0071085D">
        <w:rPr>
          <w:lang w:val="en-CA"/>
        </w:rPr>
        <w:t xml:space="preserve">nd </w:t>
      </w:r>
      <w:r w:rsidR="00902DA7" w:rsidRPr="0071085D">
        <w:rPr>
          <w:lang w:val="en-CA"/>
        </w:rPr>
        <w:t xml:space="preserve">for each of them, they indicated </w:t>
      </w:r>
      <w:r w:rsidR="00FC6ADA" w:rsidRPr="0071085D">
        <w:rPr>
          <w:lang w:val="en-CA"/>
        </w:rPr>
        <w:t>whether they ha</w:t>
      </w:r>
      <w:r w:rsidR="00902DA7" w:rsidRPr="0071085D">
        <w:rPr>
          <w:lang w:val="en-CA"/>
        </w:rPr>
        <w:t>d</w:t>
      </w:r>
      <w:r w:rsidR="00FC6ADA" w:rsidRPr="0071085D">
        <w:rPr>
          <w:lang w:val="en-CA"/>
        </w:rPr>
        <w:t xml:space="preserve"> ever </w:t>
      </w:r>
      <w:r w:rsidR="00902DA7" w:rsidRPr="0071085D">
        <w:rPr>
          <w:lang w:val="en-CA"/>
        </w:rPr>
        <w:t>consumed</w:t>
      </w:r>
      <w:r w:rsidR="00FC6ADA" w:rsidRPr="0071085D">
        <w:rPr>
          <w:lang w:val="en-CA"/>
        </w:rPr>
        <w:t xml:space="preserve"> </w:t>
      </w:r>
      <w:r w:rsidR="00902DA7" w:rsidRPr="0071085D">
        <w:rPr>
          <w:lang w:val="en-CA"/>
        </w:rPr>
        <w:t>them</w:t>
      </w:r>
      <w:r w:rsidR="00FC6ADA" w:rsidRPr="0071085D">
        <w:rPr>
          <w:lang w:val="en-CA"/>
        </w:rPr>
        <w:t>. The s</w:t>
      </w:r>
      <w:r w:rsidR="00800934" w:rsidRPr="0071085D">
        <w:rPr>
          <w:lang w:val="en-CA"/>
        </w:rPr>
        <w:t>um was calculated</w:t>
      </w:r>
      <w:r w:rsidR="00FC6ADA" w:rsidRPr="0071085D">
        <w:rPr>
          <w:lang w:val="en-CA"/>
        </w:rPr>
        <w:t>, with scores</w:t>
      </w:r>
      <w:r w:rsidR="00C67D9D" w:rsidRPr="0071085D">
        <w:rPr>
          <w:lang w:val="en-CA"/>
        </w:rPr>
        <w:t xml:space="preserve"> ranging from 0 to 17</w:t>
      </w:r>
      <w:r w:rsidR="00BF5993" w:rsidRPr="0071085D">
        <w:rPr>
          <w:lang w:val="en-CA"/>
        </w:rPr>
        <w:t>.</w:t>
      </w:r>
      <w:r w:rsidR="00FC6ADA" w:rsidRPr="0071085D">
        <w:rPr>
          <w:lang w:val="en-CA"/>
        </w:rPr>
        <w:t xml:space="preserve"> </w:t>
      </w:r>
      <w:r w:rsidR="00B86532" w:rsidRPr="0071085D">
        <w:rPr>
          <w:lang w:val="en-CA"/>
        </w:rPr>
        <w:t>After examining</w:t>
      </w:r>
      <w:r w:rsidR="00BF5993" w:rsidRPr="0071085D">
        <w:rPr>
          <w:lang w:val="en-CA"/>
        </w:rPr>
        <w:t xml:space="preserve"> the distribution, </w:t>
      </w:r>
      <w:r w:rsidR="00800934" w:rsidRPr="0071085D">
        <w:rPr>
          <w:lang w:val="en-CA"/>
        </w:rPr>
        <w:t xml:space="preserve">six categories </w:t>
      </w:r>
      <w:r w:rsidR="00BF5993" w:rsidRPr="0071085D">
        <w:rPr>
          <w:lang w:val="en-CA"/>
        </w:rPr>
        <w:t>were created: n</w:t>
      </w:r>
      <w:r w:rsidR="004916ED" w:rsidRPr="0071085D">
        <w:rPr>
          <w:lang w:val="en-CA"/>
        </w:rPr>
        <w:t>o substance used</w:t>
      </w:r>
      <w:r w:rsidR="00800934" w:rsidRPr="0071085D">
        <w:rPr>
          <w:lang w:val="en-CA"/>
        </w:rPr>
        <w:t xml:space="preserve"> = 0; </w:t>
      </w:r>
      <w:r w:rsidR="001A0D89" w:rsidRPr="0071085D">
        <w:rPr>
          <w:lang w:val="en-CA"/>
        </w:rPr>
        <w:t>one</w:t>
      </w:r>
      <w:r w:rsidR="00BF5993" w:rsidRPr="0071085D">
        <w:rPr>
          <w:lang w:val="en-CA"/>
        </w:rPr>
        <w:t xml:space="preserve"> substance</w:t>
      </w:r>
      <w:r w:rsidR="00800934" w:rsidRPr="0071085D">
        <w:rPr>
          <w:lang w:val="en-CA"/>
        </w:rPr>
        <w:t xml:space="preserve"> = 1; </w:t>
      </w:r>
      <w:r w:rsidR="001A0D89" w:rsidRPr="0071085D">
        <w:rPr>
          <w:lang w:val="en-CA"/>
        </w:rPr>
        <w:t>two</w:t>
      </w:r>
      <w:r w:rsidR="00800934" w:rsidRPr="0071085D">
        <w:rPr>
          <w:lang w:val="en-CA"/>
        </w:rPr>
        <w:t xml:space="preserve"> = 2; </w:t>
      </w:r>
      <w:r w:rsidR="001A0D89" w:rsidRPr="0071085D">
        <w:rPr>
          <w:lang w:val="en-CA"/>
        </w:rPr>
        <w:t>three</w:t>
      </w:r>
      <w:r w:rsidR="00201F9B" w:rsidRPr="0071085D">
        <w:rPr>
          <w:lang w:val="en-CA"/>
        </w:rPr>
        <w:t xml:space="preserve"> to </w:t>
      </w:r>
      <w:r w:rsidR="001A0D89" w:rsidRPr="0071085D">
        <w:rPr>
          <w:lang w:val="en-CA"/>
        </w:rPr>
        <w:t>four</w:t>
      </w:r>
      <w:r w:rsidR="004916ED" w:rsidRPr="0071085D">
        <w:rPr>
          <w:lang w:val="en-CA"/>
        </w:rPr>
        <w:t> = </w:t>
      </w:r>
      <w:r w:rsidR="00800934" w:rsidRPr="0071085D">
        <w:rPr>
          <w:lang w:val="en-CA"/>
        </w:rPr>
        <w:t>3</w:t>
      </w:r>
      <w:r w:rsidR="004916ED" w:rsidRPr="0071085D">
        <w:rPr>
          <w:lang w:val="en-CA"/>
        </w:rPr>
        <w:t xml:space="preserve">; </w:t>
      </w:r>
      <w:r w:rsidR="001A0D89" w:rsidRPr="0071085D">
        <w:rPr>
          <w:lang w:val="en-CA"/>
        </w:rPr>
        <w:t>five</w:t>
      </w:r>
      <w:r w:rsidR="00201F9B" w:rsidRPr="0071085D">
        <w:rPr>
          <w:lang w:val="en-CA"/>
        </w:rPr>
        <w:t xml:space="preserve"> to </w:t>
      </w:r>
      <w:r w:rsidR="001A0D89" w:rsidRPr="0071085D">
        <w:rPr>
          <w:lang w:val="en-CA"/>
        </w:rPr>
        <w:t>nine</w:t>
      </w:r>
      <w:r w:rsidR="004916ED" w:rsidRPr="0071085D">
        <w:rPr>
          <w:lang w:val="en-CA"/>
        </w:rPr>
        <w:t xml:space="preserve"> = 4; </w:t>
      </w:r>
      <w:r w:rsidR="00201F9B" w:rsidRPr="0071085D">
        <w:rPr>
          <w:lang w:val="en-CA"/>
        </w:rPr>
        <w:t xml:space="preserve">and </w:t>
      </w:r>
      <w:r w:rsidR="001A0D89" w:rsidRPr="0071085D">
        <w:rPr>
          <w:lang w:val="en-CA"/>
        </w:rPr>
        <w:t>ten</w:t>
      </w:r>
      <w:r w:rsidR="004916ED" w:rsidRPr="0071085D">
        <w:rPr>
          <w:lang w:val="en-CA"/>
        </w:rPr>
        <w:t xml:space="preserve"> or more</w:t>
      </w:r>
      <w:r w:rsidR="00800934" w:rsidRPr="0071085D">
        <w:rPr>
          <w:lang w:val="en-CA"/>
        </w:rPr>
        <w:t> = </w:t>
      </w:r>
      <w:r w:rsidR="004916ED" w:rsidRPr="0071085D">
        <w:rPr>
          <w:lang w:val="en-CA"/>
        </w:rPr>
        <w:t>5</w:t>
      </w:r>
      <w:r w:rsidR="00946A79" w:rsidRPr="0071085D">
        <w:rPr>
          <w:lang w:val="en-CA"/>
        </w:rPr>
        <w:t>.</w:t>
      </w:r>
      <w:r w:rsidR="00FC6ADA" w:rsidRPr="0071085D">
        <w:rPr>
          <w:lang w:val="en-CA"/>
        </w:rPr>
        <w:t xml:space="preserve"> For all risk-taking variables, high</w:t>
      </w:r>
      <w:r w:rsidR="00201F9B" w:rsidRPr="0071085D">
        <w:rPr>
          <w:lang w:val="en-CA"/>
        </w:rPr>
        <w:t>er</w:t>
      </w:r>
      <w:r w:rsidR="00FC6ADA" w:rsidRPr="0071085D">
        <w:rPr>
          <w:lang w:val="en-CA"/>
        </w:rPr>
        <w:t xml:space="preserve"> scores indicate</w:t>
      </w:r>
      <w:r w:rsidR="00201F9B" w:rsidRPr="0071085D">
        <w:rPr>
          <w:lang w:val="en-CA"/>
        </w:rPr>
        <w:t>d</w:t>
      </w:r>
      <w:r w:rsidR="008367DE" w:rsidRPr="0071085D">
        <w:rPr>
          <w:lang w:val="en-CA"/>
        </w:rPr>
        <w:t xml:space="preserve"> high</w:t>
      </w:r>
      <w:r w:rsidR="00201F9B" w:rsidRPr="0071085D">
        <w:rPr>
          <w:lang w:val="en-CA"/>
        </w:rPr>
        <w:t>er</w:t>
      </w:r>
      <w:r w:rsidR="00FC6ADA" w:rsidRPr="0071085D">
        <w:rPr>
          <w:lang w:val="en-CA"/>
        </w:rPr>
        <w:t xml:space="preserve"> risk-taking.</w:t>
      </w:r>
    </w:p>
    <w:p w14:paraId="246C9B6D" w14:textId="1E832CC0" w:rsidR="00035C81" w:rsidRPr="0071085D" w:rsidRDefault="00BE643D" w:rsidP="002A3883">
      <w:pPr>
        <w:widowControl w:val="0"/>
        <w:spacing w:after="0" w:line="480" w:lineRule="auto"/>
        <w:ind w:firstLine="708"/>
        <w:rPr>
          <w:rFonts w:eastAsia="Times New Roman"/>
          <w:lang w:val="en-CA" w:eastAsia="fr-CA"/>
        </w:rPr>
      </w:pPr>
      <w:r w:rsidRPr="0071085D">
        <w:rPr>
          <w:b/>
          <w:lang w:val="en-CA"/>
        </w:rPr>
        <w:t>Correlates</w:t>
      </w:r>
      <w:r w:rsidR="00FC6ADA" w:rsidRPr="0071085D">
        <w:rPr>
          <w:rFonts w:eastAsia="Times New Roman"/>
          <w:i/>
          <w:lang w:val="en-CA" w:eastAsia="fr-CA"/>
        </w:rPr>
        <w:t xml:space="preserve">. </w:t>
      </w:r>
      <w:r w:rsidR="00ED4D2F" w:rsidRPr="0071085D">
        <w:rPr>
          <w:rFonts w:eastAsia="Times New Roman"/>
          <w:lang w:val="en-CA" w:eastAsia="fr-CA"/>
        </w:rPr>
        <w:t>In addition to s</w:t>
      </w:r>
      <w:r w:rsidR="00EE285D" w:rsidRPr="0071085D">
        <w:rPr>
          <w:rFonts w:eastAsia="Times New Roman"/>
          <w:lang w:val="en-CA" w:eastAsia="fr-CA"/>
        </w:rPr>
        <w:t>even</w:t>
      </w:r>
      <w:r w:rsidR="00696C57" w:rsidRPr="0071085D">
        <w:rPr>
          <w:rFonts w:eastAsia="Times New Roman"/>
          <w:lang w:val="en-CA" w:eastAsia="fr-CA"/>
        </w:rPr>
        <w:t xml:space="preserve"> </w:t>
      </w:r>
      <w:r w:rsidR="00FC6ADA" w:rsidRPr="0071085D">
        <w:rPr>
          <w:lang w:val="en-CA"/>
        </w:rPr>
        <w:t>sociodemographic variables</w:t>
      </w:r>
      <w:r w:rsidR="00FC6ADA" w:rsidRPr="0071085D">
        <w:rPr>
          <w:rFonts w:eastAsia="Times New Roman"/>
          <w:lang w:val="en-CA" w:eastAsia="fr-CA"/>
        </w:rPr>
        <w:t xml:space="preserve"> </w:t>
      </w:r>
      <w:r w:rsidR="00C7210D" w:rsidRPr="0071085D">
        <w:rPr>
          <w:rFonts w:eastAsia="Times New Roman"/>
          <w:lang w:val="en-CA" w:eastAsia="fr-CA"/>
        </w:rPr>
        <w:t>(age, sex assigned at birth, country of birth, religious affiliation, religious practice, highest education</w:t>
      </w:r>
      <w:r w:rsidR="00ED4D2F" w:rsidRPr="0071085D">
        <w:rPr>
          <w:rFonts w:eastAsia="Times New Roman"/>
          <w:lang w:val="en-CA" w:eastAsia="fr-CA"/>
        </w:rPr>
        <w:t xml:space="preserve">al attainment, </w:t>
      </w:r>
      <w:r w:rsidR="00C7210D" w:rsidRPr="0071085D">
        <w:rPr>
          <w:rFonts w:eastAsia="Times New Roman"/>
          <w:lang w:val="en-CA" w:eastAsia="fr-CA"/>
        </w:rPr>
        <w:t>and relationship status)</w:t>
      </w:r>
      <w:r w:rsidR="004235CF" w:rsidRPr="0071085D">
        <w:rPr>
          <w:rFonts w:eastAsia="Times New Roman"/>
          <w:lang w:val="en-CA" w:eastAsia="fr-CA"/>
        </w:rPr>
        <w:t xml:space="preserve">, </w:t>
      </w:r>
      <w:r w:rsidR="00C7210D" w:rsidRPr="0071085D">
        <w:rPr>
          <w:rFonts w:eastAsia="Times New Roman"/>
          <w:lang w:val="en-CA" w:eastAsia="fr-CA"/>
        </w:rPr>
        <w:t xml:space="preserve">four </w:t>
      </w:r>
      <w:r w:rsidR="00C7210D" w:rsidRPr="0071085D">
        <w:rPr>
          <w:lang w:val="en-CA"/>
        </w:rPr>
        <w:t xml:space="preserve">individual </w:t>
      </w:r>
      <w:r w:rsidR="00E100FB" w:rsidRPr="0071085D">
        <w:rPr>
          <w:rFonts w:eastAsia="Times New Roman"/>
          <w:lang w:val="en-CA" w:eastAsia="fr-CA"/>
        </w:rPr>
        <w:t>characteristics</w:t>
      </w:r>
      <w:r w:rsidR="00E100FB" w:rsidRPr="0071085D">
        <w:rPr>
          <w:rFonts w:eastAsia="Times New Roman"/>
          <w:i/>
          <w:lang w:val="en-CA" w:eastAsia="fr-CA"/>
        </w:rPr>
        <w:t xml:space="preserve"> </w:t>
      </w:r>
      <w:r w:rsidR="00696C57" w:rsidRPr="0071085D">
        <w:rPr>
          <w:rFonts w:eastAsia="Times New Roman"/>
          <w:lang w:val="en-CA" w:eastAsia="fr-CA"/>
        </w:rPr>
        <w:t xml:space="preserve">were examined as </w:t>
      </w:r>
      <w:r w:rsidRPr="0071085D">
        <w:rPr>
          <w:rFonts w:eastAsia="Times New Roman"/>
          <w:lang w:val="en-CA" w:eastAsia="fr-CA"/>
        </w:rPr>
        <w:t xml:space="preserve">correlates </w:t>
      </w:r>
      <w:r w:rsidR="00696C57" w:rsidRPr="0071085D">
        <w:rPr>
          <w:rFonts w:eastAsia="Times New Roman"/>
          <w:lang w:val="en-CA" w:eastAsia="fr-CA"/>
        </w:rPr>
        <w:t>of class membersh</w:t>
      </w:r>
      <w:r w:rsidR="00EE285D" w:rsidRPr="0071085D">
        <w:rPr>
          <w:rFonts w:eastAsia="Times New Roman"/>
          <w:lang w:val="en-CA" w:eastAsia="fr-CA"/>
        </w:rPr>
        <w:t>ip</w:t>
      </w:r>
      <w:r w:rsidR="00ED4D2F" w:rsidRPr="0071085D">
        <w:rPr>
          <w:rFonts w:eastAsia="Times New Roman"/>
          <w:lang w:val="en-CA" w:eastAsia="fr-CA"/>
        </w:rPr>
        <w:t>:</w:t>
      </w:r>
      <w:r w:rsidR="00696C57" w:rsidRPr="0071085D">
        <w:rPr>
          <w:rFonts w:eastAsia="Times New Roman"/>
          <w:i/>
          <w:lang w:val="en-CA" w:eastAsia="fr-CA"/>
        </w:rPr>
        <w:t xml:space="preserve"> </w:t>
      </w:r>
      <w:r w:rsidR="0047388E" w:rsidRPr="0071085D">
        <w:rPr>
          <w:rFonts w:eastAsia="Times New Roman"/>
          <w:i/>
          <w:lang w:val="en-CA" w:eastAsia="fr-CA"/>
        </w:rPr>
        <w:t xml:space="preserve">(1) </w:t>
      </w:r>
      <w:r w:rsidR="000F0620" w:rsidRPr="0071085D">
        <w:rPr>
          <w:rFonts w:eastAsia="Times New Roman"/>
          <w:lang w:val="en-CA" w:eastAsia="fr-CA"/>
        </w:rPr>
        <w:t xml:space="preserve">The </w:t>
      </w:r>
      <w:r w:rsidR="00C7210D" w:rsidRPr="0071085D">
        <w:rPr>
          <w:rFonts w:eastAsia="Times New Roman"/>
          <w:lang w:val="en-CA" w:eastAsia="fr-CA"/>
        </w:rPr>
        <w:t xml:space="preserve">French </w:t>
      </w:r>
      <w:r w:rsidR="003927F7" w:rsidRPr="0071085D">
        <w:rPr>
          <w:rFonts w:eastAsia="Times New Roman"/>
          <w:lang w:val="en-CA" w:eastAsia="fr-CA"/>
        </w:rPr>
        <w:t xml:space="preserve">adaptation </w:t>
      </w:r>
      <w:r w:rsidR="00C7210D" w:rsidRPr="0071085D">
        <w:rPr>
          <w:rFonts w:eastAsia="Times New Roman"/>
          <w:lang w:val="en-CA" w:eastAsia="fr-CA"/>
        </w:rPr>
        <w:t>of the</w:t>
      </w:r>
      <w:r w:rsidR="00C7210D" w:rsidRPr="0071085D">
        <w:rPr>
          <w:rFonts w:eastAsia="Times New Roman"/>
          <w:i/>
          <w:lang w:val="en-CA" w:eastAsia="fr-CA"/>
        </w:rPr>
        <w:t xml:space="preserve"> </w:t>
      </w:r>
      <w:r w:rsidR="00800934" w:rsidRPr="0071085D">
        <w:rPr>
          <w:rFonts w:eastAsia="Times New Roman"/>
          <w:i/>
          <w:lang w:val="en-CA" w:eastAsia="fr-CA"/>
        </w:rPr>
        <w:t xml:space="preserve">Impulsive </w:t>
      </w:r>
      <w:r w:rsidR="006915DE" w:rsidRPr="0071085D">
        <w:rPr>
          <w:rFonts w:eastAsia="Times New Roman"/>
          <w:i/>
          <w:lang w:val="en-CA" w:eastAsia="fr-CA"/>
        </w:rPr>
        <w:t>S</w:t>
      </w:r>
      <w:r w:rsidR="00800934" w:rsidRPr="0071085D">
        <w:rPr>
          <w:rFonts w:eastAsia="Times New Roman"/>
          <w:i/>
          <w:lang w:val="en-CA" w:eastAsia="fr-CA"/>
        </w:rPr>
        <w:t>ensation</w:t>
      </w:r>
      <w:r w:rsidR="00D12F81" w:rsidRPr="0071085D">
        <w:rPr>
          <w:rFonts w:eastAsia="Times New Roman"/>
          <w:i/>
          <w:lang w:val="en-CA" w:eastAsia="fr-CA"/>
        </w:rPr>
        <w:t>-</w:t>
      </w:r>
      <w:r w:rsidR="006915DE" w:rsidRPr="0071085D">
        <w:rPr>
          <w:rFonts w:eastAsia="Times New Roman"/>
          <w:i/>
          <w:lang w:val="en-CA" w:eastAsia="fr-CA"/>
        </w:rPr>
        <w:t>S</w:t>
      </w:r>
      <w:r w:rsidR="00800934" w:rsidRPr="0071085D">
        <w:rPr>
          <w:rFonts w:eastAsia="Times New Roman"/>
          <w:i/>
          <w:lang w:val="en-CA" w:eastAsia="fr-CA"/>
        </w:rPr>
        <w:t>eeking</w:t>
      </w:r>
      <w:r w:rsidR="00800934" w:rsidRPr="0071085D">
        <w:rPr>
          <w:rFonts w:eastAsia="Times New Roman"/>
          <w:lang w:val="en-CA" w:eastAsia="fr-CA"/>
        </w:rPr>
        <w:t xml:space="preserve"> subscale of the </w:t>
      </w:r>
      <w:r w:rsidR="00800934" w:rsidRPr="0071085D">
        <w:rPr>
          <w:rFonts w:eastAsia="Times New Roman"/>
          <w:lang w:val="en-CA" w:eastAsia="fr-CA"/>
        </w:rPr>
        <w:lastRenderedPageBreak/>
        <w:t>shortened Zuckerman-Kuhlman Personality Questionnaire (</w:t>
      </w:r>
      <w:proofErr w:type="spellStart"/>
      <w:r w:rsidR="00800934" w:rsidRPr="0071085D">
        <w:rPr>
          <w:rFonts w:eastAsia="Times New Roman"/>
          <w:lang w:val="en-CA" w:eastAsia="fr-CA"/>
        </w:rPr>
        <w:t>Aluja</w:t>
      </w:r>
      <w:proofErr w:type="spellEnd"/>
      <w:r w:rsidR="00800934" w:rsidRPr="0071085D">
        <w:rPr>
          <w:rFonts w:eastAsia="Times New Roman"/>
          <w:lang w:val="en-CA" w:eastAsia="fr-CA"/>
        </w:rPr>
        <w:t xml:space="preserve"> et al., 2007) </w:t>
      </w:r>
      <w:r w:rsidR="003927F7" w:rsidRPr="0071085D">
        <w:rPr>
          <w:rFonts w:eastAsia="Times New Roman"/>
          <w:lang w:val="en-CA" w:eastAsia="fr-CA"/>
        </w:rPr>
        <w:t xml:space="preserve">was </w:t>
      </w:r>
      <w:r w:rsidR="00800934" w:rsidRPr="0071085D">
        <w:rPr>
          <w:rFonts w:eastAsia="Times New Roman"/>
          <w:lang w:val="en-CA" w:eastAsia="fr-CA"/>
        </w:rPr>
        <w:t>used</w:t>
      </w:r>
      <w:r w:rsidR="00C7210D" w:rsidRPr="0071085D">
        <w:rPr>
          <w:rFonts w:eastAsia="Times New Roman"/>
          <w:lang w:val="en-CA" w:eastAsia="fr-CA"/>
        </w:rPr>
        <w:t xml:space="preserve"> to </w:t>
      </w:r>
      <w:r w:rsidR="00800934" w:rsidRPr="0071085D">
        <w:rPr>
          <w:rFonts w:eastAsia="Times New Roman"/>
          <w:lang w:val="en-CA" w:eastAsia="fr-CA"/>
        </w:rPr>
        <w:t xml:space="preserve">assess lack of planning </w:t>
      </w:r>
      <w:r w:rsidR="000E08F3" w:rsidRPr="0071085D">
        <w:rPr>
          <w:rFonts w:eastAsia="Times New Roman"/>
          <w:lang w:val="en-CA" w:eastAsia="fr-CA"/>
        </w:rPr>
        <w:t>and</w:t>
      </w:r>
      <w:r w:rsidR="00800934" w:rsidRPr="0071085D">
        <w:rPr>
          <w:rFonts w:eastAsia="Times New Roman"/>
          <w:lang w:val="en-CA" w:eastAsia="fr-CA"/>
        </w:rPr>
        <w:t xml:space="preserve"> </w:t>
      </w:r>
      <w:r w:rsidR="003927F7" w:rsidRPr="0071085D">
        <w:rPr>
          <w:rFonts w:eastAsia="Times New Roman"/>
          <w:lang w:val="en-CA" w:eastAsia="fr-CA"/>
        </w:rPr>
        <w:t xml:space="preserve">the seeking-out of </w:t>
      </w:r>
      <w:r w:rsidR="00800934" w:rsidRPr="0071085D">
        <w:rPr>
          <w:rFonts w:eastAsia="Times New Roman"/>
          <w:lang w:val="en-CA" w:eastAsia="fr-CA"/>
        </w:rPr>
        <w:t>new experiences</w:t>
      </w:r>
      <w:r w:rsidR="00D5072B" w:rsidRPr="0071085D">
        <w:rPr>
          <w:rFonts w:eastAsia="Times New Roman"/>
          <w:lang w:val="en-CA" w:eastAsia="fr-CA"/>
        </w:rPr>
        <w:t xml:space="preserve"> (e.g., </w:t>
      </w:r>
      <w:r w:rsidR="003927F7" w:rsidRPr="0071085D">
        <w:rPr>
          <w:rFonts w:eastAsia="Times New Roman"/>
          <w:lang w:val="en-CA" w:eastAsia="fr-CA"/>
        </w:rPr>
        <w:t>“</w:t>
      </w:r>
      <w:r w:rsidR="00D5072B" w:rsidRPr="0071085D">
        <w:rPr>
          <w:rFonts w:eastAsia="Times New Roman"/>
          <w:lang w:val="en-CA" w:eastAsia="fr-CA"/>
        </w:rPr>
        <w:t>I often do things on impulse</w:t>
      </w:r>
      <w:r w:rsidR="003927F7" w:rsidRPr="0071085D">
        <w:rPr>
          <w:rFonts w:eastAsia="Times New Roman"/>
          <w:lang w:val="en-CA" w:eastAsia="fr-CA"/>
        </w:rPr>
        <w:t>”</w:t>
      </w:r>
      <w:r w:rsidR="00D5072B" w:rsidRPr="0071085D">
        <w:rPr>
          <w:rFonts w:eastAsia="Times New Roman"/>
          <w:lang w:val="en-CA" w:eastAsia="fr-CA"/>
        </w:rPr>
        <w:t>)</w:t>
      </w:r>
      <w:r w:rsidR="00800934" w:rsidRPr="0071085D">
        <w:rPr>
          <w:rFonts w:eastAsia="Times New Roman"/>
          <w:lang w:val="en-CA" w:eastAsia="fr-CA"/>
        </w:rPr>
        <w:t xml:space="preserve">. </w:t>
      </w:r>
      <w:r w:rsidR="00C7210D" w:rsidRPr="0071085D">
        <w:rPr>
          <w:rFonts w:eastAsia="Times New Roman"/>
          <w:lang w:val="en-CA" w:eastAsia="fr-CA"/>
        </w:rPr>
        <w:t>P</w:t>
      </w:r>
      <w:r w:rsidR="00800934" w:rsidRPr="0071085D">
        <w:rPr>
          <w:rFonts w:eastAsia="Times New Roman"/>
          <w:lang w:val="en-CA" w:eastAsia="fr-CA"/>
        </w:rPr>
        <w:t xml:space="preserve">articipants rated each item </w:t>
      </w:r>
      <w:r w:rsidR="00C7210D" w:rsidRPr="0071085D">
        <w:rPr>
          <w:rFonts w:eastAsia="Times New Roman"/>
          <w:lang w:val="en-CA" w:eastAsia="fr-CA"/>
        </w:rPr>
        <w:t>on</w:t>
      </w:r>
      <w:r w:rsidR="00800934" w:rsidRPr="0071085D">
        <w:rPr>
          <w:rFonts w:eastAsia="Times New Roman"/>
          <w:lang w:val="en-CA" w:eastAsia="fr-CA"/>
        </w:rPr>
        <w:t xml:space="preserve"> a 5-point Likert scale ranging from 1</w:t>
      </w:r>
      <w:r w:rsidR="002746CB" w:rsidRPr="0071085D">
        <w:rPr>
          <w:rFonts w:eastAsia="Times New Roman"/>
          <w:lang w:val="en-CA" w:eastAsia="fr-CA"/>
        </w:rPr>
        <w:t xml:space="preserve"> – </w:t>
      </w:r>
      <w:r w:rsidR="00800934" w:rsidRPr="0071085D">
        <w:rPr>
          <w:rFonts w:eastAsia="Times New Roman"/>
          <w:lang w:val="en-CA" w:eastAsia="fr-CA"/>
        </w:rPr>
        <w:t>never</w:t>
      </w:r>
      <w:r w:rsidR="002746CB" w:rsidRPr="0071085D">
        <w:rPr>
          <w:rFonts w:eastAsia="Times New Roman"/>
          <w:lang w:val="en-CA" w:eastAsia="fr-CA"/>
        </w:rPr>
        <w:t>,</w:t>
      </w:r>
      <w:r w:rsidR="00800934" w:rsidRPr="0071085D">
        <w:rPr>
          <w:rFonts w:eastAsia="Times New Roman"/>
          <w:lang w:val="en-CA" w:eastAsia="fr-CA"/>
        </w:rPr>
        <w:t xml:space="preserve"> to 5 </w:t>
      </w:r>
      <w:r w:rsidR="002746CB" w:rsidRPr="0071085D">
        <w:rPr>
          <w:rFonts w:eastAsia="Times New Roman"/>
          <w:lang w:val="en-CA" w:eastAsia="fr-CA"/>
        </w:rPr>
        <w:t>–</w:t>
      </w:r>
      <w:r w:rsidR="00800934" w:rsidRPr="0071085D">
        <w:rPr>
          <w:rFonts w:eastAsia="Times New Roman"/>
          <w:lang w:val="en-CA" w:eastAsia="fr-CA"/>
        </w:rPr>
        <w:t xml:space="preserve"> always</w:t>
      </w:r>
      <w:r w:rsidR="00C7210D" w:rsidRPr="0071085D">
        <w:rPr>
          <w:rFonts w:eastAsia="Times New Roman"/>
          <w:lang w:val="en-CA" w:eastAsia="fr-CA"/>
        </w:rPr>
        <w:t xml:space="preserve"> </w:t>
      </w:r>
      <w:r w:rsidR="00682E94" w:rsidRPr="0071085D">
        <w:rPr>
          <w:rFonts w:eastAsia="Times New Roman"/>
          <w:lang w:val="en-CA" w:eastAsia="fr-CA"/>
        </w:rPr>
        <w:t>(</w:t>
      </w:r>
      <w:r w:rsidR="004235CF" w:rsidRPr="0071085D">
        <w:rPr>
          <w:rFonts w:eastAsia="Times New Roman"/>
          <w:lang w:val="en-CA" w:eastAsia="fr-CA"/>
        </w:rPr>
        <w:t xml:space="preserve">10 items; </w:t>
      </w:r>
      <w:r w:rsidR="00682E94" w:rsidRPr="0071085D">
        <w:rPr>
          <w:rFonts w:eastAsia="Times New Roman"/>
          <w:lang w:val="en-CA" w:eastAsia="fr-CA"/>
        </w:rPr>
        <w:t xml:space="preserve">α = .87). </w:t>
      </w:r>
      <w:r w:rsidR="0047388E" w:rsidRPr="0071085D">
        <w:rPr>
          <w:rFonts w:eastAsia="Times New Roman"/>
          <w:i/>
          <w:lang w:val="en-CA" w:eastAsia="fr-CA"/>
        </w:rPr>
        <w:t>(2</w:t>
      </w:r>
      <w:r w:rsidR="001160BB" w:rsidRPr="0071085D">
        <w:rPr>
          <w:rFonts w:eastAsia="Times New Roman"/>
          <w:i/>
          <w:lang w:val="en-CA" w:eastAsia="fr-CA"/>
        </w:rPr>
        <w:t xml:space="preserve">) </w:t>
      </w:r>
      <w:r w:rsidR="00800934" w:rsidRPr="0071085D">
        <w:rPr>
          <w:rFonts w:eastAsia="Times New Roman"/>
          <w:lang w:val="en-CA" w:eastAsia="fr-CA"/>
        </w:rPr>
        <w:t xml:space="preserve">The French </w:t>
      </w:r>
      <w:r w:rsidR="002746CB" w:rsidRPr="0071085D">
        <w:rPr>
          <w:rFonts w:eastAsia="Times New Roman"/>
          <w:lang w:val="en-CA" w:eastAsia="fr-CA"/>
        </w:rPr>
        <w:t xml:space="preserve">adaptation </w:t>
      </w:r>
      <w:r w:rsidR="00800934" w:rsidRPr="0071085D">
        <w:rPr>
          <w:rFonts w:eastAsia="Times New Roman"/>
          <w:lang w:val="en-CA" w:eastAsia="fr-CA"/>
        </w:rPr>
        <w:t>(</w:t>
      </w:r>
      <w:proofErr w:type="spellStart"/>
      <w:r w:rsidR="00800934" w:rsidRPr="0071085D">
        <w:rPr>
          <w:rFonts w:eastAsia="Times New Roman"/>
          <w:lang w:val="en-CA" w:eastAsia="fr-CA"/>
        </w:rPr>
        <w:t>Vallières</w:t>
      </w:r>
      <w:proofErr w:type="spellEnd"/>
      <w:r w:rsidR="00800934" w:rsidRPr="0071085D">
        <w:rPr>
          <w:rFonts w:eastAsia="Times New Roman"/>
          <w:lang w:val="en-CA" w:eastAsia="fr-CA"/>
        </w:rPr>
        <w:t xml:space="preserve"> &amp; Vallerand, 1990) of the </w:t>
      </w:r>
      <w:r w:rsidR="00800934" w:rsidRPr="0071085D">
        <w:rPr>
          <w:i/>
          <w:lang w:val="en-CA"/>
        </w:rPr>
        <w:t>Rosenberg</w:t>
      </w:r>
      <w:r w:rsidR="00800934" w:rsidRPr="0071085D">
        <w:rPr>
          <w:rFonts w:eastAsia="Times New Roman"/>
          <w:lang w:val="en-CA" w:eastAsia="fr-CA"/>
        </w:rPr>
        <w:t xml:space="preserve"> </w:t>
      </w:r>
      <w:r w:rsidR="00800934" w:rsidRPr="0071085D">
        <w:rPr>
          <w:rFonts w:eastAsia="Times New Roman"/>
          <w:i/>
          <w:lang w:val="en-CA" w:eastAsia="fr-CA"/>
        </w:rPr>
        <w:t>Self-Esteem</w:t>
      </w:r>
      <w:r w:rsidR="00800934" w:rsidRPr="0071085D">
        <w:rPr>
          <w:rFonts w:eastAsia="Times New Roman"/>
          <w:lang w:val="en-CA" w:eastAsia="fr-CA"/>
        </w:rPr>
        <w:t xml:space="preserve"> </w:t>
      </w:r>
      <w:r w:rsidR="00800934" w:rsidRPr="0071085D">
        <w:rPr>
          <w:i/>
          <w:lang w:val="en-CA"/>
        </w:rPr>
        <w:t>Scale</w:t>
      </w:r>
      <w:r w:rsidR="00800934" w:rsidRPr="0071085D">
        <w:rPr>
          <w:rFonts w:eastAsia="Times New Roman"/>
          <w:i/>
          <w:lang w:val="en-CA" w:eastAsia="fr-CA"/>
        </w:rPr>
        <w:t xml:space="preserve"> </w:t>
      </w:r>
      <w:r w:rsidR="00C7210D" w:rsidRPr="0071085D">
        <w:rPr>
          <w:rFonts w:eastAsia="Times New Roman"/>
          <w:lang w:val="en-CA" w:eastAsia="fr-CA"/>
        </w:rPr>
        <w:t>(</w:t>
      </w:r>
      <w:r w:rsidR="005973E1" w:rsidRPr="0071085D">
        <w:rPr>
          <w:rFonts w:eastAsia="Times New Roman"/>
          <w:lang w:val="en-CA" w:eastAsia="fr-CA"/>
        </w:rPr>
        <w:t>1965</w:t>
      </w:r>
      <w:r w:rsidR="00C7210D" w:rsidRPr="0071085D">
        <w:rPr>
          <w:rFonts w:eastAsia="Times New Roman"/>
          <w:lang w:val="en-CA" w:eastAsia="fr-CA"/>
        </w:rPr>
        <w:t xml:space="preserve">) </w:t>
      </w:r>
      <w:r w:rsidR="00800934" w:rsidRPr="0071085D">
        <w:rPr>
          <w:rFonts w:eastAsia="Times New Roman"/>
          <w:lang w:val="en-CA" w:eastAsia="fr-CA"/>
        </w:rPr>
        <w:t xml:space="preserve">was used to assess </w:t>
      </w:r>
      <w:r w:rsidR="00C7210D" w:rsidRPr="0071085D">
        <w:rPr>
          <w:rFonts w:eastAsia="Times New Roman"/>
          <w:lang w:val="en-CA" w:eastAsia="fr-CA"/>
        </w:rPr>
        <w:t xml:space="preserve">both positive and negative feelings about </w:t>
      </w:r>
      <w:r w:rsidR="002746CB" w:rsidRPr="0071085D">
        <w:rPr>
          <w:rFonts w:eastAsia="Times New Roman"/>
          <w:lang w:val="en-CA" w:eastAsia="fr-CA"/>
        </w:rPr>
        <w:t>one</w:t>
      </w:r>
      <w:r w:rsidR="00C7210D" w:rsidRPr="0071085D">
        <w:rPr>
          <w:rFonts w:eastAsia="Times New Roman"/>
          <w:lang w:val="en-CA" w:eastAsia="fr-CA"/>
        </w:rPr>
        <w:t xml:space="preserve">self </w:t>
      </w:r>
      <w:r w:rsidR="00800934" w:rsidRPr="0071085D">
        <w:rPr>
          <w:rFonts w:eastAsia="Times New Roman"/>
          <w:lang w:val="en-CA" w:eastAsia="fr-CA"/>
        </w:rPr>
        <w:t xml:space="preserve">(e.g., </w:t>
      </w:r>
      <w:r w:rsidR="002746CB" w:rsidRPr="0071085D">
        <w:rPr>
          <w:rFonts w:eastAsia="Times New Roman"/>
          <w:lang w:val="en-CA" w:eastAsia="fr-CA"/>
        </w:rPr>
        <w:t>“</w:t>
      </w:r>
      <w:r w:rsidR="00800934" w:rsidRPr="0071085D">
        <w:rPr>
          <w:lang w:val="en-CA"/>
        </w:rPr>
        <w:t>On the whole, I am satisfied with myself</w:t>
      </w:r>
      <w:r w:rsidR="002746CB" w:rsidRPr="0071085D">
        <w:rPr>
          <w:lang w:val="en-CA"/>
        </w:rPr>
        <w:t>”</w:t>
      </w:r>
      <w:r w:rsidR="00800934" w:rsidRPr="0071085D">
        <w:rPr>
          <w:lang w:val="en-CA"/>
        </w:rPr>
        <w:t>)</w:t>
      </w:r>
      <w:r w:rsidR="00800934" w:rsidRPr="0071085D">
        <w:rPr>
          <w:rFonts w:eastAsia="Times New Roman"/>
          <w:lang w:val="en-CA" w:eastAsia="fr-CA"/>
        </w:rPr>
        <w:t xml:space="preserve">. </w:t>
      </w:r>
      <w:r w:rsidR="00D0147D" w:rsidRPr="0071085D">
        <w:rPr>
          <w:rFonts w:eastAsia="Times New Roman"/>
          <w:lang w:val="en-CA" w:eastAsia="fr-CA"/>
        </w:rPr>
        <w:t xml:space="preserve">Participants rated themselves on </w:t>
      </w:r>
      <w:r w:rsidR="00912E83" w:rsidRPr="0071085D">
        <w:rPr>
          <w:rFonts w:eastAsia="Times New Roman"/>
          <w:lang w:val="en-CA" w:eastAsia="fr-CA"/>
        </w:rPr>
        <w:t xml:space="preserve">10 items </w:t>
      </w:r>
      <w:r w:rsidR="002746CB" w:rsidRPr="0071085D">
        <w:rPr>
          <w:rFonts w:eastAsia="Times New Roman"/>
          <w:lang w:val="en-CA" w:eastAsia="fr-CA"/>
        </w:rPr>
        <w:t xml:space="preserve">using </w:t>
      </w:r>
      <w:r w:rsidR="00912E83" w:rsidRPr="0071085D">
        <w:rPr>
          <w:rFonts w:eastAsia="Times New Roman"/>
          <w:lang w:val="en-CA" w:eastAsia="fr-CA"/>
        </w:rPr>
        <w:t xml:space="preserve">a </w:t>
      </w:r>
      <w:r w:rsidR="000C62AC" w:rsidRPr="0071085D">
        <w:rPr>
          <w:rFonts w:eastAsia="Times New Roman"/>
          <w:lang w:val="en-CA" w:eastAsia="fr-CA"/>
        </w:rPr>
        <w:t>4</w:t>
      </w:r>
      <w:r w:rsidR="00800934" w:rsidRPr="0071085D">
        <w:rPr>
          <w:rFonts w:eastAsia="Times New Roman"/>
          <w:lang w:val="en-CA" w:eastAsia="fr-CA"/>
        </w:rPr>
        <w:t xml:space="preserve">-point Likert scale ranging from </w:t>
      </w:r>
      <w:r w:rsidR="002746CB" w:rsidRPr="0071085D">
        <w:rPr>
          <w:rFonts w:eastAsia="Times New Roman"/>
          <w:lang w:val="en-CA" w:eastAsia="fr-CA"/>
        </w:rPr>
        <w:t xml:space="preserve">1 – </w:t>
      </w:r>
      <w:r w:rsidR="00800934" w:rsidRPr="0071085D">
        <w:rPr>
          <w:rFonts w:eastAsia="Times New Roman"/>
          <w:lang w:val="en-CA" w:eastAsia="fr-CA"/>
        </w:rPr>
        <w:t>strongly disagree</w:t>
      </w:r>
      <w:r w:rsidR="002746CB" w:rsidRPr="0071085D">
        <w:rPr>
          <w:rFonts w:eastAsia="Times New Roman"/>
          <w:lang w:val="en-CA" w:eastAsia="fr-CA"/>
        </w:rPr>
        <w:t>,</w:t>
      </w:r>
      <w:r w:rsidR="00800934" w:rsidRPr="0071085D">
        <w:rPr>
          <w:rFonts w:eastAsia="Times New Roman"/>
          <w:lang w:val="en-CA" w:eastAsia="fr-CA"/>
        </w:rPr>
        <w:t xml:space="preserve"> to 4 </w:t>
      </w:r>
      <w:r w:rsidR="002746CB" w:rsidRPr="0071085D">
        <w:rPr>
          <w:rFonts w:eastAsia="Times New Roman"/>
          <w:lang w:val="en-CA" w:eastAsia="fr-CA"/>
        </w:rPr>
        <w:t>–</w:t>
      </w:r>
      <w:r w:rsidR="00800934" w:rsidRPr="0071085D">
        <w:rPr>
          <w:rFonts w:eastAsia="Times New Roman"/>
          <w:lang w:val="en-CA" w:eastAsia="fr-CA"/>
        </w:rPr>
        <w:t xml:space="preserve"> strongly agree</w:t>
      </w:r>
      <w:r w:rsidR="00C7210D" w:rsidRPr="0071085D">
        <w:rPr>
          <w:rFonts w:eastAsia="Times New Roman"/>
          <w:lang w:val="en-CA" w:eastAsia="fr-CA"/>
        </w:rPr>
        <w:t xml:space="preserve"> </w:t>
      </w:r>
      <w:r w:rsidR="00682E94" w:rsidRPr="0071085D">
        <w:rPr>
          <w:rFonts w:eastAsia="Times New Roman"/>
          <w:lang w:val="en-CA" w:eastAsia="fr-CA"/>
        </w:rPr>
        <w:t>(α = .89)</w:t>
      </w:r>
      <w:r w:rsidR="00385007" w:rsidRPr="0071085D">
        <w:rPr>
          <w:rFonts w:eastAsia="Times New Roman"/>
          <w:lang w:val="en-CA" w:eastAsia="fr-CA"/>
        </w:rPr>
        <w:t xml:space="preserve">. </w:t>
      </w:r>
      <w:r w:rsidR="0047388E" w:rsidRPr="0071085D">
        <w:rPr>
          <w:i/>
          <w:lang w:val="en-CA"/>
        </w:rPr>
        <w:t xml:space="preserve">(3) </w:t>
      </w:r>
      <w:r w:rsidR="00DF216E" w:rsidRPr="0071085D">
        <w:rPr>
          <w:rFonts w:eastAsia="Times New Roman"/>
          <w:lang w:val="en-CA" w:eastAsia="fr-CA"/>
        </w:rPr>
        <w:t xml:space="preserve">The French </w:t>
      </w:r>
      <w:r w:rsidR="002746CB" w:rsidRPr="0071085D">
        <w:rPr>
          <w:rFonts w:eastAsia="Times New Roman"/>
          <w:lang w:val="en-CA" w:eastAsia="fr-CA"/>
        </w:rPr>
        <w:t>adaptation</w:t>
      </w:r>
      <w:r w:rsidR="00DF216E" w:rsidRPr="0071085D">
        <w:rPr>
          <w:rFonts w:eastAsia="Times New Roman"/>
          <w:lang w:val="en-CA" w:eastAsia="fr-CA"/>
        </w:rPr>
        <w:t xml:space="preserve"> (Blais, Vallerand, Pelletier</w:t>
      </w:r>
      <w:r w:rsidR="00652567" w:rsidRPr="0071085D">
        <w:rPr>
          <w:rFonts w:eastAsia="Times New Roman"/>
          <w:lang w:val="en-CA" w:eastAsia="fr-CA"/>
        </w:rPr>
        <w:t>,</w:t>
      </w:r>
      <w:r w:rsidR="00DF216E" w:rsidRPr="0071085D">
        <w:rPr>
          <w:rFonts w:eastAsia="Times New Roman"/>
          <w:lang w:val="en-CA" w:eastAsia="fr-CA"/>
        </w:rPr>
        <w:t xml:space="preserve"> &amp; </w:t>
      </w:r>
      <w:proofErr w:type="spellStart"/>
      <w:r w:rsidR="00DF216E" w:rsidRPr="0071085D">
        <w:rPr>
          <w:rFonts w:eastAsia="Times New Roman"/>
          <w:lang w:val="en-CA" w:eastAsia="fr-CA"/>
        </w:rPr>
        <w:t>Brière</w:t>
      </w:r>
      <w:proofErr w:type="spellEnd"/>
      <w:r w:rsidR="00DF216E" w:rsidRPr="0071085D">
        <w:rPr>
          <w:rFonts w:eastAsia="Times New Roman"/>
          <w:lang w:val="en-CA" w:eastAsia="fr-CA"/>
        </w:rPr>
        <w:t xml:space="preserve">, 1989) of the </w:t>
      </w:r>
      <w:r w:rsidR="001160BB" w:rsidRPr="0071085D">
        <w:rPr>
          <w:bCs/>
          <w:i/>
          <w:iCs/>
          <w:lang w:val="en-CA"/>
        </w:rPr>
        <w:t xml:space="preserve">Life </w:t>
      </w:r>
      <w:r w:rsidR="00DF216E" w:rsidRPr="0071085D">
        <w:rPr>
          <w:bCs/>
          <w:i/>
          <w:iCs/>
          <w:lang w:val="en-CA"/>
        </w:rPr>
        <w:t xml:space="preserve">Satisfaction </w:t>
      </w:r>
      <w:r w:rsidR="00DF216E" w:rsidRPr="0071085D">
        <w:rPr>
          <w:i/>
          <w:lang w:val="en-CA"/>
        </w:rPr>
        <w:t>Scale</w:t>
      </w:r>
      <w:r w:rsidR="00DF216E" w:rsidRPr="0071085D">
        <w:rPr>
          <w:bCs/>
          <w:iCs/>
          <w:lang w:val="en-CA"/>
        </w:rPr>
        <w:t xml:space="preserve"> </w:t>
      </w:r>
      <w:r w:rsidR="00DF216E" w:rsidRPr="0071085D">
        <w:rPr>
          <w:bCs/>
          <w:iCs/>
          <w:lang w:val="en-CA"/>
        </w:rPr>
        <w:fldChar w:fldCharType="begin" w:fldLock="1"/>
      </w:r>
      <w:r w:rsidR="00DF216E" w:rsidRPr="0071085D">
        <w:rPr>
          <w:bCs/>
          <w:iCs/>
          <w:lang w:val="en-CA"/>
        </w:rPr>
        <w:instrText>ADDIN CSL_CITATION { "citationItems" : [ { "id" : "ITEM-1", "itemData" : { "DOI" : "10.1207/s15327752jpa4901_13", "ISBN" : "135910710X", "ISSN" : "0022-3891", "PMID" : "16367493", "abstract" : "This article reports the development and validation of a scale to measure global life satisfaction, the Satisfaction With Life Scale (SWLS). Among the various components of subjective well-being, the SWLS is narrowly focused to assess global life satisfaction and does not tap related constructs such as positive affect or loneliness. The SWLS is shown to have favorable psychometric properties, including high temporal reliability. Scores on the SWLS correlate moderately to highly with other measures of subjective well-being, and correlate predictably with specific personality characteristics. It's noted that SWLS is suited for use with different age groups and other potential uses of the scale are discussed.", "author" : [ { "dropping-particle" : "", "family" : "Diener", "given" : "Ed", "non-dropping-particle" : "", "parse-names" : false, "suffix" : "" }, { "dropping-particle" : "", "family" : "Emmons", "given" : "Robert A", "non-dropping-particle" : "", "parse-names" : false, "suffix" : "" }, { "dropping-particle" : "", "family" : "Larsen", "given" : "Randy J", "non-dropping-particle" : "", "parse-names" : false, "suffix" : "" }, { "dropping-particle" : "", "family" : "Griffin", "given" : "Sharon", "non-dropping-particle" : "", "parse-names" : false, "suffix" : "" } ], "container-title" : "Journal of Personality Assessment", "id" : "ITEM-1", "issue" : "1", "issued" : { "date-parts" : [ [ "1985" ] ] }, "page" : "71-75", "title" : "The Satisfaction With Life Scale", "type" : "article-journal", "volume" : "49" }, "uris" : [ "http://www.mendeley.com/documents/?uuid=0960569b-3fc9-4a8d-b37d-c7899423afa0" ] } ], "mendeley" : { "formattedCitation" : "(Diener, Emmons, Larsen, &amp; Griffin, 1985)", "plainTextFormattedCitation" : "(Diener, Emmons, Larsen, &amp; Griffin, 1985)", "previouslyFormattedCitation" : "(Diener, Emmons, Larsen, &amp; Griffin, 1985)" }, "properties" : { "noteIndex" : 0 }, "schema" : "https://github.com/citation-style-language/schema/raw/master/csl-citation.json" }</w:instrText>
      </w:r>
      <w:r w:rsidR="00DF216E" w:rsidRPr="0071085D">
        <w:rPr>
          <w:bCs/>
          <w:iCs/>
          <w:lang w:val="en-CA"/>
        </w:rPr>
        <w:fldChar w:fldCharType="separate"/>
      </w:r>
      <w:r w:rsidR="00DF216E" w:rsidRPr="0071085D">
        <w:rPr>
          <w:lang w:val="en-CA"/>
        </w:rPr>
        <w:t>(Diener, Emmons, Larsen, &amp; Griffin, 1985</w:t>
      </w:r>
      <w:r w:rsidR="00DF216E" w:rsidRPr="0071085D">
        <w:rPr>
          <w:bCs/>
          <w:iCs/>
          <w:noProof/>
          <w:lang w:val="en-CA"/>
        </w:rPr>
        <w:t>)</w:t>
      </w:r>
      <w:r w:rsidR="00DF216E" w:rsidRPr="0071085D">
        <w:rPr>
          <w:bCs/>
          <w:iCs/>
          <w:lang w:val="en-CA"/>
        </w:rPr>
        <w:fldChar w:fldCharType="end"/>
      </w:r>
      <w:r w:rsidR="00DF216E" w:rsidRPr="0071085D">
        <w:rPr>
          <w:rFonts w:eastAsia="Times New Roman"/>
          <w:lang w:val="en-CA" w:eastAsia="fr-CA"/>
        </w:rPr>
        <w:t xml:space="preserve"> was used to assess</w:t>
      </w:r>
      <w:r w:rsidR="00912E83" w:rsidRPr="0071085D">
        <w:rPr>
          <w:rFonts w:eastAsia="Times New Roman"/>
          <w:lang w:val="en-CA" w:eastAsia="fr-CA"/>
        </w:rPr>
        <w:t xml:space="preserve"> </w:t>
      </w:r>
      <w:r w:rsidR="00912E83" w:rsidRPr="0071085D">
        <w:rPr>
          <w:lang w:val="en-CA"/>
        </w:rPr>
        <w:t xml:space="preserve">global </w:t>
      </w:r>
      <w:r w:rsidR="002746CB" w:rsidRPr="0071085D">
        <w:rPr>
          <w:lang w:val="en-CA"/>
        </w:rPr>
        <w:t>life</w:t>
      </w:r>
      <w:r w:rsidR="00912E83" w:rsidRPr="0071085D">
        <w:rPr>
          <w:lang w:val="en-CA"/>
        </w:rPr>
        <w:t xml:space="preserve"> satisfaction </w:t>
      </w:r>
      <w:r w:rsidR="009571A9" w:rsidRPr="0071085D">
        <w:rPr>
          <w:lang w:val="en-CA"/>
        </w:rPr>
        <w:t xml:space="preserve">(e.g., </w:t>
      </w:r>
      <w:r w:rsidR="002746CB" w:rsidRPr="0071085D">
        <w:rPr>
          <w:lang w:val="en-CA"/>
        </w:rPr>
        <w:t>“</w:t>
      </w:r>
      <w:r w:rsidR="009571A9" w:rsidRPr="0071085D">
        <w:rPr>
          <w:bCs/>
          <w:iCs/>
          <w:lang w:val="en-CA"/>
        </w:rPr>
        <w:t>In general, my life correspond</w:t>
      </w:r>
      <w:r w:rsidR="00A47A6A" w:rsidRPr="0071085D">
        <w:rPr>
          <w:bCs/>
          <w:iCs/>
          <w:lang w:val="en-CA"/>
        </w:rPr>
        <w:t>s</w:t>
      </w:r>
      <w:r w:rsidR="009571A9" w:rsidRPr="0071085D">
        <w:rPr>
          <w:bCs/>
          <w:iCs/>
          <w:lang w:val="en-CA"/>
        </w:rPr>
        <w:t xml:space="preserve"> closely to my ideals</w:t>
      </w:r>
      <w:r w:rsidR="002746CB" w:rsidRPr="0071085D">
        <w:rPr>
          <w:bCs/>
          <w:iCs/>
          <w:lang w:val="en-CA"/>
        </w:rPr>
        <w:t>”</w:t>
      </w:r>
      <w:r w:rsidR="009571A9" w:rsidRPr="0071085D">
        <w:rPr>
          <w:bCs/>
          <w:iCs/>
          <w:lang w:val="en-CA"/>
        </w:rPr>
        <w:t>)</w:t>
      </w:r>
      <w:r w:rsidR="00912E83" w:rsidRPr="0071085D">
        <w:rPr>
          <w:lang w:val="en-CA"/>
        </w:rPr>
        <w:t xml:space="preserve">. </w:t>
      </w:r>
      <w:r w:rsidR="002746CB" w:rsidRPr="0071085D">
        <w:rPr>
          <w:lang w:val="en-CA"/>
        </w:rPr>
        <w:t>Items were rated using</w:t>
      </w:r>
      <w:r w:rsidR="00912E83" w:rsidRPr="0071085D">
        <w:rPr>
          <w:lang w:val="en-CA"/>
        </w:rPr>
        <w:t xml:space="preserve"> </w:t>
      </w:r>
      <w:r w:rsidR="00912E83" w:rsidRPr="0071085D">
        <w:rPr>
          <w:rFonts w:eastAsia="Times New Roman"/>
          <w:lang w:val="en-CA" w:eastAsia="fr-CA"/>
        </w:rPr>
        <w:t>a 7-point Likert scale</w:t>
      </w:r>
      <w:r w:rsidR="002746CB" w:rsidRPr="0071085D">
        <w:rPr>
          <w:rFonts w:eastAsia="Times New Roman"/>
          <w:lang w:val="en-CA" w:eastAsia="fr-CA"/>
        </w:rPr>
        <w:t>, with options</w:t>
      </w:r>
      <w:r w:rsidR="00912E83" w:rsidRPr="0071085D">
        <w:rPr>
          <w:rFonts w:eastAsia="Times New Roman"/>
          <w:lang w:val="en-CA" w:eastAsia="fr-CA"/>
        </w:rPr>
        <w:t xml:space="preserve"> ranging from 1 </w:t>
      </w:r>
      <w:r w:rsidR="002746CB" w:rsidRPr="0071085D">
        <w:rPr>
          <w:rFonts w:eastAsia="Times New Roman"/>
          <w:lang w:val="en-CA" w:eastAsia="fr-CA"/>
        </w:rPr>
        <w:t>–</w:t>
      </w:r>
      <w:r w:rsidR="00912E83" w:rsidRPr="0071085D">
        <w:rPr>
          <w:rFonts w:eastAsia="Times New Roman"/>
          <w:lang w:val="en-CA" w:eastAsia="fr-CA"/>
        </w:rPr>
        <w:t xml:space="preserve"> strongly disagree</w:t>
      </w:r>
      <w:r w:rsidR="002746CB" w:rsidRPr="0071085D">
        <w:rPr>
          <w:rFonts w:eastAsia="Times New Roman"/>
          <w:lang w:val="en-CA" w:eastAsia="fr-CA"/>
        </w:rPr>
        <w:t>,</w:t>
      </w:r>
      <w:r w:rsidR="00912E83" w:rsidRPr="0071085D">
        <w:rPr>
          <w:rFonts w:eastAsia="Times New Roman"/>
          <w:lang w:val="en-CA" w:eastAsia="fr-CA"/>
        </w:rPr>
        <w:t xml:space="preserve"> to 7 </w:t>
      </w:r>
      <w:r w:rsidR="002746CB" w:rsidRPr="0071085D">
        <w:rPr>
          <w:rFonts w:eastAsia="Times New Roman"/>
          <w:lang w:val="en-CA" w:eastAsia="fr-CA"/>
        </w:rPr>
        <w:t>–</w:t>
      </w:r>
      <w:r w:rsidR="00912E83" w:rsidRPr="0071085D">
        <w:rPr>
          <w:rFonts w:eastAsia="Times New Roman"/>
          <w:lang w:val="en-CA" w:eastAsia="fr-CA"/>
        </w:rPr>
        <w:t xml:space="preserve"> strongly agree</w:t>
      </w:r>
      <w:r w:rsidR="00C7210D" w:rsidRPr="0071085D">
        <w:rPr>
          <w:rFonts w:eastAsia="Times New Roman"/>
          <w:lang w:val="en-CA" w:eastAsia="fr-CA"/>
        </w:rPr>
        <w:t xml:space="preserve"> </w:t>
      </w:r>
      <w:r w:rsidR="00385007" w:rsidRPr="0071085D">
        <w:rPr>
          <w:rFonts w:eastAsia="Times New Roman"/>
          <w:lang w:val="en-CA" w:eastAsia="fr-CA"/>
        </w:rPr>
        <w:t>(</w:t>
      </w:r>
      <w:r w:rsidR="00EA7C40" w:rsidRPr="0071085D">
        <w:rPr>
          <w:rFonts w:eastAsia="Times New Roman"/>
          <w:lang w:val="en-CA" w:eastAsia="fr-CA"/>
        </w:rPr>
        <w:t xml:space="preserve">5 items, </w:t>
      </w:r>
      <w:r w:rsidR="00385007" w:rsidRPr="0071085D">
        <w:rPr>
          <w:rFonts w:eastAsia="Times New Roman"/>
          <w:lang w:val="en-CA" w:eastAsia="fr-CA"/>
        </w:rPr>
        <w:t>α = .85).</w:t>
      </w:r>
      <w:r w:rsidR="00385007" w:rsidRPr="0071085D">
        <w:rPr>
          <w:rFonts w:eastAsia="Times New Roman"/>
          <w:i/>
          <w:lang w:val="en-CA" w:eastAsia="fr-CA"/>
        </w:rPr>
        <w:t xml:space="preserve"> </w:t>
      </w:r>
      <w:r w:rsidR="0047388E" w:rsidRPr="0071085D">
        <w:rPr>
          <w:rFonts w:eastAsia="Times New Roman"/>
          <w:i/>
          <w:lang w:val="en-CA" w:eastAsia="fr-CA"/>
        </w:rPr>
        <w:t xml:space="preserve">(4) </w:t>
      </w:r>
      <w:r w:rsidR="00402FF5" w:rsidRPr="0071085D">
        <w:rPr>
          <w:lang w:val="en-CA"/>
        </w:rPr>
        <w:t xml:space="preserve">The </w:t>
      </w:r>
      <w:r w:rsidR="00AC0B43" w:rsidRPr="0071085D">
        <w:rPr>
          <w:lang w:val="en-CA"/>
        </w:rPr>
        <w:t xml:space="preserve">short </w:t>
      </w:r>
      <w:r w:rsidR="00402FF5" w:rsidRPr="0071085D">
        <w:rPr>
          <w:lang w:val="en-CA"/>
        </w:rPr>
        <w:t xml:space="preserve">French </w:t>
      </w:r>
      <w:r w:rsidR="00AC0B43" w:rsidRPr="0071085D">
        <w:rPr>
          <w:lang w:val="en-CA"/>
        </w:rPr>
        <w:t>adaptation</w:t>
      </w:r>
      <w:r w:rsidR="00402FF5" w:rsidRPr="0071085D">
        <w:rPr>
          <w:lang w:val="en-CA"/>
        </w:rPr>
        <w:t xml:space="preserve"> of the </w:t>
      </w:r>
      <w:r w:rsidR="00402FF5" w:rsidRPr="0071085D">
        <w:rPr>
          <w:i/>
          <w:lang w:val="en-CA"/>
        </w:rPr>
        <w:t>Marlowe-Crown</w:t>
      </w:r>
      <w:r w:rsidR="00233FF8" w:rsidRPr="0071085D">
        <w:rPr>
          <w:i/>
          <w:lang w:val="en-CA"/>
        </w:rPr>
        <w:t>e</w:t>
      </w:r>
      <w:r w:rsidR="00402FF5" w:rsidRPr="0071085D">
        <w:rPr>
          <w:lang w:val="en-CA"/>
        </w:rPr>
        <w:t xml:space="preserve"> </w:t>
      </w:r>
      <w:r w:rsidR="00402FF5" w:rsidRPr="0071085D">
        <w:rPr>
          <w:i/>
          <w:lang w:val="en-CA"/>
        </w:rPr>
        <w:t>Social Desirability Scale</w:t>
      </w:r>
      <w:r w:rsidR="00402FF5" w:rsidRPr="0071085D">
        <w:rPr>
          <w:lang w:val="en-CA"/>
        </w:rPr>
        <w:t xml:space="preserve"> </w:t>
      </w:r>
      <w:r w:rsidR="00E100FB" w:rsidRPr="0071085D">
        <w:rPr>
          <w:lang w:val="en-CA"/>
        </w:rPr>
        <w:t xml:space="preserve">(Crowne &amp; Marlowe, 1960; Strahan &amp; Gerbasi, 1972) </w:t>
      </w:r>
      <w:r w:rsidR="004939E9" w:rsidRPr="0071085D">
        <w:rPr>
          <w:lang w:val="en-CA"/>
        </w:rPr>
        <w:t xml:space="preserve">was used </w:t>
      </w:r>
      <w:r w:rsidR="00AC0B43" w:rsidRPr="0071085D">
        <w:rPr>
          <w:lang w:val="en-CA"/>
        </w:rPr>
        <w:t>to measure participants’ levels of social desirability</w:t>
      </w:r>
      <w:r w:rsidR="00373746" w:rsidRPr="0071085D">
        <w:rPr>
          <w:lang w:val="en-CA"/>
        </w:rPr>
        <w:t xml:space="preserve">. </w:t>
      </w:r>
      <w:r w:rsidR="00691F31" w:rsidRPr="0071085D">
        <w:rPr>
          <w:rFonts w:eastAsia="Times New Roman"/>
          <w:lang w:val="en-CA" w:eastAsia="fr-CA"/>
        </w:rPr>
        <w:t>P</w:t>
      </w:r>
      <w:r w:rsidR="00041163" w:rsidRPr="0071085D">
        <w:rPr>
          <w:rFonts w:eastAsia="Times New Roman"/>
          <w:lang w:val="en-CA" w:eastAsia="fr-CA"/>
        </w:rPr>
        <w:t xml:space="preserve">articipants rated each </w:t>
      </w:r>
      <w:r w:rsidR="00373746" w:rsidRPr="0071085D">
        <w:rPr>
          <w:rFonts w:eastAsia="Times New Roman"/>
          <w:lang w:val="en-CA" w:eastAsia="fr-CA"/>
        </w:rPr>
        <w:t xml:space="preserve">of the 10 </w:t>
      </w:r>
      <w:r w:rsidR="00AC0B43" w:rsidRPr="0071085D">
        <w:rPr>
          <w:rFonts w:eastAsia="Times New Roman"/>
          <w:lang w:val="en-CA" w:eastAsia="fr-CA"/>
        </w:rPr>
        <w:t>statement</w:t>
      </w:r>
      <w:r w:rsidR="004235CF" w:rsidRPr="0071085D">
        <w:rPr>
          <w:rFonts w:eastAsia="Times New Roman"/>
          <w:lang w:val="en-CA" w:eastAsia="fr-CA"/>
        </w:rPr>
        <w:t>s</w:t>
      </w:r>
      <w:r w:rsidR="00041163" w:rsidRPr="0071085D">
        <w:rPr>
          <w:rFonts w:eastAsia="Times New Roman"/>
          <w:lang w:val="en-CA" w:eastAsia="fr-CA"/>
        </w:rPr>
        <w:t xml:space="preserve"> using a 5-point Likert scale </w:t>
      </w:r>
      <w:r w:rsidR="00AC0B43" w:rsidRPr="0071085D">
        <w:rPr>
          <w:rFonts w:eastAsia="Times New Roman"/>
          <w:lang w:val="en-CA" w:eastAsia="fr-CA"/>
        </w:rPr>
        <w:t xml:space="preserve">with response options </w:t>
      </w:r>
      <w:r w:rsidR="00041163" w:rsidRPr="0071085D">
        <w:rPr>
          <w:rFonts w:eastAsia="Times New Roman"/>
          <w:lang w:val="en-CA" w:eastAsia="fr-CA"/>
        </w:rPr>
        <w:t>ranging from 1</w:t>
      </w:r>
      <w:r w:rsidR="00AC0B43" w:rsidRPr="0071085D">
        <w:rPr>
          <w:rFonts w:eastAsia="Times New Roman"/>
          <w:lang w:val="en-CA" w:eastAsia="fr-CA"/>
        </w:rPr>
        <w:t xml:space="preserve"> – </w:t>
      </w:r>
      <w:r w:rsidR="00041163" w:rsidRPr="0071085D">
        <w:rPr>
          <w:rFonts w:eastAsia="Times New Roman"/>
          <w:lang w:val="en-CA" w:eastAsia="fr-CA"/>
        </w:rPr>
        <w:t>never</w:t>
      </w:r>
      <w:r w:rsidR="00AC0B43" w:rsidRPr="0071085D">
        <w:rPr>
          <w:rFonts w:eastAsia="Times New Roman"/>
          <w:lang w:val="en-CA" w:eastAsia="fr-CA"/>
        </w:rPr>
        <w:t>,</w:t>
      </w:r>
      <w:r w:rsidR="00041163" w:rsidRPr="0071085D">
        <w:rPr>
          <w:rFonts w:eastAsia="Times New Roman"/>
          <w:lang w:val="en-CA" w:eastAsia="fr-CA"/>
        </w:rPr>
        <w:t xml:space="preserve"> to 5</w:t>
      </w:r>
      <w:r w:rsidR="00AC0B43" w:rsidRPr="0071085D">
        <w:rPr>
          <w:rFonts w:eastAsia="Times New Roman"/>
          <w:lang w:val="en-CA" w:eastAsia="fr-CA"/>
        </w:rPr>
        <w:t xml:space="preserve"> – </w:t>
      </w:r>
      <w:r w:rsidR="00041163" w:rsidRPr="0071085D">
        <w:rPr>
          <w:rFonts w:eastAsia="Times New Roman"/>
          <w:lang w:val="en-CA" w:eastAsia="fr-CA"/>
        </w:rPr>
        <w:t>always</w:t>
      </w:r>
      <w:r w:rsidR="00C7210D" w:rsidRPr="0071085D">
        <w:rPr>
          <w:rFonts w:eastAsia="Times New Roman"/>
          <w:lang w:val="en-CA" w:eastAsia="fr-CA"/>
        </w:rPr>
        <w:t xml:space="preserve"> </w:t>
      </w:r>
      <w:r w:rsidR="00385007" w:rsidRPr="0071085D">
        <w:rPr>
          <w:rFonts w:eastAsia="Times New Roman"/>
          <w:lang w:val="en-CA" w:eastAsia="fr-CA"/>
        </w:rPr>
        <w:t>(α = .61).</w:t>
      </w:r>
      <w:r w:rsidR="00035C81" w:rsidRPr="0071085D">
        <w:rPr>
          <w:rFonts w:eastAsia="Times New Roman"/>
          <w:lang w:val="en-CA" w:eastAsia="fr-CA"/>
        </w:rPr>
        <w:t xml:space="preserve"> </w:t>
      </w:r>
      <w:r w:rsidR="00035C81" w:rsidRPr="0071085D">
        <w:rPr>
          <w:lang w:val="en-CA"/>
        </w:rPr>
        <w:t xml:space="preserve">For </w:t>
      </w:r>
      <w:r w:rsidR="00691F31" w:rsidRPr="0071085D">
        <w:rPr>
          <w:lang w:val="en-CA"/>
        </w:rPr>
        <w:t xml:space="preserve">each </w:t>
      </w:r>
      <w:r w:rsidR="00035C81" w:rsidRPr="0071085D">
        <w:rPr>
          <w:lang w:val="en-CA"/>
        </w:rPr>
        <w:t xml:space="preserve">variable, </w:t>
      </w:r>
      <w:r w:rsidR="00691F31" w:rsidRPr="0071085D">
        <w:rPr>
          <w:lang w:val="en-CA"/>
        </w:rPr>
        <w:t xml:space="preserve">scale </w:t>
      </w:r>
      <w:r w:rsidR="00035C81" w:rsidRPr="0071085D">
        <w:rPr>
          <w:lang w:val="en-CA"/>
        </w:rPr>
        <w:t>items were averaged</w:t>
      </w:r>
      <w:r w:rsidR="00AC0B43" w:rsidRPr="0071085D">
        <w:rPr>
          <w:lang w:val="en-CA"/>
        </w:rPr>
        <w:t>.</w:t>
      </w:r>
      <w:r w:rsidR="00015C05" w:rsidRPr="0071085D">
        <w:rPr>
          <w:lang w:val="en-CA"/>
        </w:rPr>
        <w:t xml:space="preserve"> </w:t>
      </w:r>
      <w:r w:rsidR="00AC0B43" w:rsidRPr="0071085D">
        <w:rPr>
          <w:lang w:val="en-CA"/>
        </w:rPr>
        <w:t>A</w:t>
      </w:r>
      <w:r w:rsidR="00691F31" w:rsidRPr="0071085D">
        <w:rPr>
          <w:lang w:val="en-CA"/>
        </w:rPr>
        <w:t xml:space="preserve">s such, </w:t>
      </w:r>
      <w:r w:rsidR="00015C05" w:rsidRPr="0071085D">
        <w:rPr>
          <w:lang w:val="en-CA"/>
        </w:rPr>
        <w:t>higher scores reflect higher</w:t>
      </w:r>
      <w:r w:rsidR="00035C81" w:rsidRPr="0071085D">
        <w:rPr>
          <w:lang w:val="en-CA"/>
        </w:rPr>
        <w:t xml:space="preserve"> impulsive sensation</w:t>
      </w:r>
      <w:r w:rsidR="00D12F81" w:rsidRPr="0071085D">
        <w:rPr>
          <w:lang w:val="en-CA"/>
        </w:rPr>
        <w:t>-</w:t>
      </w:r>
      <w:r w:rsidR="00035C81" w:rsidRPr="0071085D">
        <w:rPr>
          <w:lang w:val="en-CA"/>
        </w:rPr>
        <w:t xml:space="preserve">seeking, self-esteem, life </w:t>
      </w:r>
      <w:r w:rsidR="00015C05" w:rsidRPr="0071085D">
        <w:rPr>
          <w:lang w:val="en-CA"/>
        </w:rPr>
        <w:t>satisfaction</w:t>
      </w:r>
      <w:r w:rsidR="00AC0B43" w:rsidRPr="0071085D">
        <w:rPr>
          <w:lang w:val="en-CA"/>
        </w:rPr>
        <w:t>,</w:t>
      </w:r>
      <w:r w:rsidR="00015C05" w:rsidRPr="0071085D">
        <w:rPr>
          <w:lang w:val="en-CA"/>
        </w:rPr>
        <w:t xml:space="preserve"> and </w:t>
      </w:r>
      <w:r w:rsidR="00035C81" w:rsidRPr="0071085D">
        <w:rPr>
          <w:lang w:val="en-CA"/>
        </w:rPr>
        <w:t>social desirability.</w:t>
      </w:r>
    </w:p>
    <w:p w14:paraId="00C9F51F" w14:textId="4665788F" w:rsidR="00800934" w:rsidRPr="0071085D" w:rsidRDefault="00015C05" w:rsidP="002A3883">
      <w:pPr>
        <w:widowControl w:val="0"/>
        <w:autoSpaceDE w:val="0"/>
        <w:autoSpaceDN w:val="0"/>
        <w:adjustRightInd w:val="0"/>
        <w:spacing w:after="0" w:line="480" w:lineRule="auto"/>
        <w:ind w:firstLine="708"/>
        <w:rPr>
          <w:i/>
          <w:color w:val="000000"/>
          <w:lang w:val="en-CA"/>
        </w:rPr>
      </w:pPr>
      <w:r w:rsidRPr="0071085D">
        <w:rPr>
          <w:b/>
          <w:color w:val="000000"/>
          <w:lang w:val="en-CA"/>
        </w:rPr>
        <w:t>O</w:t>
      </w:r>
      <w:r w:rsidR="00800934" w:rsidRPr="0071085D">
        <w:rPr>
          <w:b/>
          <w:color w:val="000000"/>
          <w:lang w:val="en-CA"/>
        </w:rPr>
        <w:t>utcomes</w:t>
      </w:r>
      <w:r w:rsidR="00696C57" w:rsidRPr="0071085D">
        <w:rPr>
          <w:b/>
          <w:i/>
          <w:color w:val="000000"/>
          <w:lang w:val="en-CA"/>
        </w:rPr>
        <w:t>.</w:t>
      </w:r>
      <w:r w:rsidR="00696C57" w:rsidRPr="0071085D">
        <w:rPr>
          <w:i/>
          <w:color w:val="000000"/>
          <w:lang w:val="en-CA"/>
        </w:rPr>
        <w:t xml:space="preserve"> </w:t>
      </w:r>
      <w:r w:rsidR="0047388E" w:rsidRPr="0071085D">
        <w:rPr>
          <w:i/>
          <w:color w:val="000000"/>
          <w:lang w:val="en-CA"/>
        </w:rPr>
        <w:t xml:space="preserve">(1) </w:t>
      </w:r>
      <w:r w:rsidR="00800934" w:rsidRPr="0071085D">
        <w:rPr>
          <w:i/>
          <w:color w:val="000000"/>
          <w:lang w:val="en-CA"/>
        </w:rPr>
        <w:t>STI testing</w:t>
      </w:r>
      <w:r w:rsidR="00AC0B43" w:rsidRPr="0071085D">
        <w:rPr>
          <w:b/>
          <w:i/>
          <w:color w:val="000000"/>
          <w:lang w:val="en-CA"/>
        </w:rPr>
        <w:t xml:space="preserve"> </w:t>
      </w:r>
      <w:r w:rsidR="00AC0B43" w:rsidRPr="0071085D">
        <w:rPr>
          <w:i/>
          <w:color w:val="000000"/>
          <w:lang w:val="en-CA"/>
        </w:rPr>
        <w:t>history</w:t>
      </w:r>
      <w:r w:rsidR="00800934" w:rsidRPr="0071085D">
        <w:rPr>
          <w:i/>
          <w:color w:val="000000"/>
          <w:lang w:val="en-CA"/>
        </w:rPr>
        <w:t>.</w:t>
      </w:r>
      <w:r w:rsidR="00800934" w:rsidRPr="0071085D">
        <w:rPr>
          <w:color w:val="000000"/>
          <w:lang w:val="en-CA"/>
        </w:rPr>
        <w:t xml:space="preserve"> Participants were asked </w:t>
      </w:r>
      <w:r w:rsidR="00A47A6A" w:rsidRPr="0071085D">
        <w:rPr>
          <w:color w:val="000000"/>
          <w:lang w:val="en-CA"/>
        </w:rPr>
        <w:t>whether they had</w:t>
      </w:r>
      <w:r w:rsidR="00800934" w:rsidRPr="0071085D">
        <w:rPr>
          <w:color w:val="000000"/>
          <w:lang w:val="en-CA"/>
        </w:rPr>
        <w:t xml:space="preserve"> </w:t>
      </w:r>
      <w:r w:rsidR="00AC0B43" w:rsidRPr="0071085D">
        <w:rPr>
          <w:color w:val="000000"/>
          <w:lang w:val="en-CA"/>
        </w:rPr>
        <w:t>ever</w:t>
      </w:r>
      <w:r w:rsidR="00800934" w:rsidRPr="0071085D">
        <w:rPr>
          <w:color w:val="000000"/>
          <w:lang w:val="en-CA"/>
        </w:rPr>
        <w:t xml:space="preserve"> b</w:t>
      </w:r>
      <w:r w:rsidR="0047388E" w:rsidRPr="0071085D">
        <w:rPr>
          <w:color w:val="000000"/>
          <w:lang w:val="en-CA"/>
        </w:rPr>
        <w:t xml:space="preserve">een screened for STIs (yes/no). </w:t>
      </w:r>
      <w:r w:rsidR="0047388E" w:rsidRPr="0071085D">
        <w:rPr>
          <w:i/>
          <w:color w:val="000000"/>
          <w:lang w:val="en-CA"/>
        </w:rPr>
        <w:t>(2)</w:t>
      </w:r>
      <w:r w:rsidR="0047388E" w:rsidRPr="0071085D">
        <w:rPr>
          <w:color w:val="000000"/>
          <w:lang w:val="en-CA"/>
        </w:rPr>
        <w:t xml:space="preserve"> </w:t>
      </w:r>
      <w:r w:rsidR="00800934" w:rsidRPr="0071085D">
        <w:rPr>
          <w:i/>
          <w:color w:val="000000"/>
          <w:lang w:val="en-CA"/>
        </w:rPr>
        <w:t xml:space="preserve">STI diagnosis. </w:t>
      </w:r>
      <w:r w:rsidR="00DB250C" w:rsidRPr="0071085D">
        <w:rPr>
          <w:color w:val="000000"/>
          <w:lang w:val="en-CA"/>
        </w:rPr>
        <w:t xml:space="preserve">Those who </w:t>
      </w:r>
      <w:r w:rsidR="00AC0B43" w:rsidRPr="0071085D">
        <w:rPr>
          <w:color w:val="000000"/>
          <w:lang w:val="en-CA"/>
        </w:rPr>
        <w:t>ha</w:t>
      </w:r>
      <w:r w:rsidR="00FC09A0" w:rsidRPr="0071085D">
        <w:rPr>
          <w:color w:val="000000"/>
          <w:lang w:val="en-CA"/>
        </w:rPr>
        <w:t>d</w:t>
      </w:r>
      <w:r w:rsidR="00AC0B43" w:rsidRPr="0071085D">
        <w:rPr>
          <w:color w:val="000000"/>
          <w:lang w:val="en-CA"/>
        </w:rPr>
        <w:t xml:space="preserve"> </w:t>
      </w:r>
      <w:r w:rsidR="00800934" w:rsidRPr="0071085D">
        <w:rPr>
          <w:color w:val="000000"/>
          <w:lang w:val="en-CA"/>
        </w:rPr>
        <w:t>were</w:t>
      </w:r>
      <w:r w:rsidR="00DB250C" w:rsidRPr="0071085D">
        <w:rPr>
          <w:color w:val="000000"/>
          <w:lang w:val="en-CA"/>
        </w:rPr>
        <w:t xml:space="preserve"> then</w:t>
      </w:r>
      <w:r w:rsidR="00800934" w:rsidRPr="0071085D">
        <w:rPr>
          <w:color w:val="000000"/>
          <w:lang w:val="en-CA"/>
        </w:rPr>
        <w:t xml:space="preserve"> asked </w:t>
      </w:r>
      <w:r w:rsidR="001074CB" w:rsidRPr="0071085D">
        <w:rPr>
          <w:color w:val="000000"/>
          <w:lang w:val="en-CA"/>
        </w:rPr>
        <w:t xml:space="preserve">whether </w:t>
      </w:r>
      <w:r w:rsidR="00800934" w:rsidRPr="0071085D">
        <w:rPr>
          <w:color w:val="000000"/>
          <w:lang w:val="en-CA"/>
        </w:rPr>
        <w:t xml:space="preserve">they </w:t>
      </w:r>
      <w:r w:rsidR="00A47A6A" w:rsidRPr="0071085D">
        <w:rPr>
          <w:color w:val="000000"/>
          <w:lang w:val="en-CA"/>
        </w:rPr>
        <w:t>had</w:t>
      </w:r>
      <w:r w:rsidR="0076281B" w:rsidRPr="0071085D">
        <w:rPr>
          <w:color w:val="000000"/>
          <w:lang w:val="en-CA"/>
        </w:rPr>
        <w:t xml:space="preserve"> </w:t>
      </w:r>
      <w:r w:rsidR="00DB250C" w:rsidRPr="0071085D">
        <w:rPr>
          <w:color w:val="000000"/>
          <w:lang w:val="en-CA"/>
        </w:rPr>
        <w:t xml:space="preserve">ever </w:t>
      </w:r>
      <w:r w:rsidR="0076281B" w:rsidRPr="0071085D">
        <w:rPr>
          <w:color w:val="000000"/>
          <w:lang w:val="en-CA"/>
        </w:rPr>
        <w:t>been</w:t>
      </w:r>
      <w:r w:rsidR="00800934" w:rsidRPr="0071085D">
        <w:rPr>
          <w:color w:val="000000"/>
          <w:lang w:val="en-CA"/>
        </w:rPr>
        <w:t xml:space="preserve"> diagnosed with a</w:t>
      </w:r>
      <w:r w:rsidR="00AC0B43" w:rsidRPr="0071085D">
        <w:rPr>
          <w:color w:val="000000"/>
          <w:lang w:val="en-CA"/>
        </w:rPr>
        <w:t>n</w:t>
      </w:r>
      <w:r w:rsidR="00800934" w:rsidRPr="0071085D">
        <w:rPr>
          <w:color w:val="000000"/>
          <w:lang w:val="en-CA"/>
        </w:rPr>
        <w:t xml:space="preserve"> STI (yes/no).</w:t>
      </w:r>
      <w:r w:rsidR="0047388E" w:rsidRPr="0071085D">
        <w:rPr>
          <w:color w:val="000000"/>
          <w:lang w:val="en-CA"/>
        </w:rPr>
        <w:t xml:space="preserve"> </w:t>
      </w:r>
      <w:r w:rsidR="0047388E" w:rsidRPr="0071085D">
        <w:rPr>
          <w:i/>
          <w:color w:val="000000"/>
          <w:lang w:val="en-CA"/>
        </w:rPr>
        <w:t>(3)</w:t>
      </w:r>
      <w:r w:rsidR="00800934" w:rsidRPr="0071085D">
        <w:rPr>
          <w:color w:val="000000"/>
          <w:lang w:val="en-CA"/>
        </w:rPr>
        <w:t xml:space="preserve"> </w:t>
      </w:r>
      <w:r w:rsidR="00AC0B43" w:rsidRPr="0071085D">
        <w:rPr>
          <w:color w:val="000000"/>
          <w:lang w:val="en-CA"/>
        </w:rPr>
        <w:t>The short</w:t>
      </w:r>
      <w:r w:rsidR="004E6E3B" w:rsidRPr="0071085D">
        <w:rPr>
          <w:color w:val="000000"/>
          <w:lang w:val="en-CA"/>
        </w:rPr>
        <w:t xml:space="preserve"> French </w:t>
      </w:r>
      <w:r w:rsidR="00AC0B43" w:rsidRPr="0071085D">
        <w:rPr>
          <w:color w:val="000000"/>
          <w:lang w:val="en-CA"/>
        </w:rPr>
        <w:t>adaptation</w:t>
      </w:r>
      <w:r w:rsidR="004E6E3B" w:rsidRPr="0071085D">
        <w:rPr>
          <w:color w:val="000000"/>
          <w:lang w:val="en-CA"/>
        </w:rPr>
        <w:t xml:space="preserve"> of the </w:t>
      </w:r>
      <w:r w:rsidR="00800934" w:rsidRPr="0071085D">
        <w:rPr>
          <w:i/>
          <w:color w:val="000000"/>
          <w:lang w:val="en-CA"/>
        </w:rPr>
        <w:t>Rutgers Alcohol Problem Index</w:t>
      </w:r>
      <w:r w:rsidR="00800934" w:rsidRPr="0071085D">
        <w:rPr>
          <w:color w:val="000000"/>
          <w:lang w:val="en-CA"/>
        </w:rPr>
        <w:t xml:space="preserve"> (</w:t>
      </w:r>
      <w:r w:rsidR="004E6E3B" w:rsidRPr="0071085D">
        <w:rPr>
          <w:color w:val="000000"/>
          <w:lang w:val="en-CA"/>
        </w:rPr>
        <w:t xml:space="preserve">White &amp; </w:t>
      </w:r>
      <w:proofErr w:type="spellStart"/>
      <w:r w:rsidR="004E6E3B" w:rsidRPr="0071085D">
        <w:rPr>
          <w:color w:val="000000"/>
          <w:lang w:val="en-CA"/>
        </w:rPr>
        <w:t>Labouvie</w:t>
      </w:r>
      <w:proofErr w:type="spellEnd"/>
      <w:r w:rsidR="004E6E3B" w:rsidRPr="0071085D">
        <w:rPr>
          <w:color w:val="000000"/>
          <w:lang w:val="en-CA"/>
        </w:rPr>
        <w:t>, 1989</w:t>
      </w:r>
      <w:r w:rsidR="00800934" w:rsidRPr="0071085D">
        <w:rPr>
          <w:color w:val="000000"/>
          <w:lang w:val="en-CA"/>
        </w:rPr>
        <w:t xml:space="preserve">) </w:t>
      </w:r>
      <w:r w:rsidR="004E6E3B" w:rsidRPr="0071085D">
        <w:rPr>
          <w:color w:val="000000"/>
          <w:lang w:val="en-CA"/>
        </w:rPr>
        <w:t xml:space="preserve">was used to screen for </w:t>
      </w:r>
      <w:r w:rsidR="00890167" w:rsidRPr="0071085D">
        <w:rPr>
          <w:i/>
          <w:color w:val="000000"/>
          <w:lang w:val="en-CA"/>
        </w:rPr>
        <w:t>substance use problems</w:t>
      </w:r>
      <w:r w:rsidR="00B10448" w:rsidRPr="0071085D">
        <w:rPr>
          <w:color w:val="000000"/>
          <w:lang w:val="en-CA"/>
        </w:rPr>
        <w:t>. Participants were asked how many times,</w:t>
      </w:r>
      <w:r w:rsidR="004E6E3B" w:rsidRPr="0071085D">
        <w:rPr>
          <w:color w:val="000000"/>
          <w:lang w:val="en-CA"/>
        </w:rPr>
        <w:t xml:space="preserve"> </w:t>
      </w:r>
      <w:r w:rsidR="00B10448" w:rsidRPr="0071085D">
        <w:rPr>
          <w:color w:val="000000"/>
          <w:lang w:val="en-CA"/>
        </w:rPr>
        <w:t xml:space="preserve">in the last year, they </w:t>
      </w:r>
      <w:r w:rsidR="00AC0B43" w:rsidRPr="0071085D">
        <w:rPr>
          <w:color w:val="000000"/>
          <w:lang w:val="en-CA"/>
        </w:rPr>
        <w:t xml:space="preserve">had </w:t>
      </w:r>
      <w:r w:rsidR="00B10448" w:rsidRPr="0071085D">
        <w:rPr>
          <w:color w:val="000000"/>
          <w:lang w:val="en-CA"/>
        </w:rPr>
        <w:t xml:space="preserve">experienced each </w:t>
      </w:r>
      <w:r w:rsidR="00AC0B43" w:rsidRPr="0071085D">
        <w:rPr>
          <w:color w:val="000000"/>
          <w:lang w:val="en-CA"/>
        </w:rPr>
        <w:t xml:space="preserve">of the listed substance-use </w:t>
      </w:r>
      <w:r w:rsidR="00B10448" w:rsidRPr="0071085D">
        <w:rPr>
          <w:color w:val="000000"/>
          <w:lang w:val="en-CA"/>
        </w:rPr>
        <w:t>consequence</w:t>
      </w:r>
      <w:r w:rsidR="00E100FB" w:rsidRPr="0071085D">
        <w:rPr>
          <w:color w:val="000000"/>
          <w:lang w:val="en-CA"/>
        </w:rPr>
        <w:t>s</w:t>
      </w:r>
      <w:r w:rsidR="00B10448" w:rsidRPr="0071085D">
        <w:rPr>
          <w:color w:val="000000"/>
          <w:lang w:val="en-CA"/>
        </w:rPr>
        <w:t xml:space="preserve"> </w:t>
      </w:r>
      <w:r w:rsidR="004E6E3B" w:rsidRPr="0071085D">
        <w:rPr>
          <w:color w:val="000000"/>
          <w:lang w:val="en-CA"/>
        </w:rPr>
        <w:t xml:space="preserve">(e.g., </w:t>
      </w:r>
      <w:r w:rsidR="00AC0B43" w:rsidRPr="0071085D">
        <w:rPr>
          <w:color w:val="000000"/>
          <w:lang w:val="en-CA"/>
        </w:rPr>
        <w:t>“</w:t>
      </w:r>
      <w:r w:rsidR="00FB622E" w:rsidRPr="0071085D">
        <w:rPr>
          <w:color w:val="000000"/>
          <w:lang w:val="en-CA"/>
        </w:rPr>
        <w:t>n</w:t>
      </w:r>
      <w:r w:rsidR="004E6E3B" w:rsidRPr="0071085D">
        <w:rPr>
          <w:color w:val="000000"/>
          <w:lang w:val="en-CA"/>
        </w:rPr>
        <w:t>ot able to do your homework</w:t>
      </w:r>
      <w:r w:rsidR="00AC0B43" w:rsidRPr="0071085D">
        <w:rPr>
          <w:color w:val="000000"/>
          <w:lang w:val="en-CA"/>
        </w:rPr>
        <w:t>”</w:t>
      </w:r>
      <w:r w:rsidR="004E6E3B" w:rsidRPr="0071085D">
        <w:rPr>
          <w:color w:val="000000"/>
          <w:lang w:val="en-CA"/>
        </w:rPr>
        <w:t>)</w:t>
      </w:r>
      <w:r w:rsidR="00B10448" w:rsidRPr="0071085D">
        <w:rPr>
          <w:color w:val="000000"/>
          <w:lang w:val="en-CA"/>
        </w:rPr>
        <w:t xml:space="preserve">, </w:t>
      </w:r>
      <w:r w:rsidR="008C4ACC" w:rsidRPr="0071085D">
        <w:rPr>
          <w:color w:val="000000"/>
          <w:lang w:val="en-CA"/>
        </w:rPr>
        <w:t xml:space="preserve">using </w:t>
      </w:r>
      <w:r w:rsidR="004E6E3B" w:rsidRPr="0071085D">
        <w:rPr>
          <w:rFonts w:eastAsia="Times New Roman"/>
          <w:lang w:val="en-CA" w:eastAsia="fr-CA"/>
        </w:rPr>
        <w:t xml:space="preserve">a 4-point </w:t>
      </w:r>
      <w:r w:rsidR="004E6E3B" w:rsidRPr="0071085D">
        <w:rPr>
          <w:rFonts w:eastAsia="Times New Roman"/>
          <w:lang w:val="en-CA" w:eastAsia="fr-CA"/>
        </w:rPr>
        <w:lastRenderedPageBreak/>
        <w:t xml:space="preserve">Likert scale </w:t>
      </w:r>
      <w:r w:rsidR="008C4ACC" w:rsidRPr="0071085D">
        <w:rPr>
          <w:rFonts w:eastAsia="Times New Roman"/>
          <w:lang w:val="en-CA" w:eastAsia="fr-CA"/>
        </w:rPr>
        <w:t xml:space="preserve">with response options </w:t>
      </w:r>
      <w:r w:rsidR="004E6E3B" w:rsidRPr="0071085D">
        <w:rPr>
          <w:rFonts w:eastAsia="Times New Roman"/>
          <w:lang w:val="en-CA" w:eastAsia="fr-CA"/>
        </w:rPr>
        <w:t>ranging from 0</w:t>
      </w:r>
      <w:r w:rsidR="008C4ACC" w:rsidRPr="0071085D">
        <w:rPr>
          <w:rFonts w:eastAsia="Times New Roman"/>
          <w:lang w:val="en-CA" w:eastAsia="fr-CA"/>
        </w:rPr>
        <w:t xml:space="preserve"> – </w:t>
      </w:r>
      <w:r w:rsidR="00FB622E" w:rsidRPr="0071085D">
        <w:rPr>
          <w:rFonts w:eastAsia="Times New Roman"/>
          <w:lang w:val="en-CA" w:eastAsia="fr-CA"/>
        </w:rPr>
        <w:t>never</w:t>
      </w:r>
      <w:r w:rsidR="008C4ACC" w:rsidRPr="0071085D">
        <w:rPr>
          <w:rFonts w:eastAsia="Times New Roman"/>
          <w:lang w:val="en-CA" w:eastAsia="fr-CA"/>
        </w:rPr>
        <w:t>,</w:t>
      </w:r>
      <w:r w:rsidR="00FB622E" w:rsidRPr="0071085D">
        <w:rPr>
          <w:rFonts w:eastAsia="Times New Roman"/>
          <w:lang w:val="en-CA" w:eastAsia="fr-CA"/>
        </w:rPr>
        <w:t xml:space="preserve"> to 3</w:t>
      </w:r>
      <w:r w:rsidR="008C4ACC" w:rsidRPr="0071085D">
        <w:rPr>
          <w:rFonts w:eastAsia="Times New Roman"/>
          <w:lang w:val="en-CA" w:eastAsia="fr-CA"/>
        </w:rPr>
        <w:t xml:space="preserve"> – </w:t>
      </w:r>
      <w:r w:rsidR="00FB622E" w:rsidRPr="0071085D">
        <w:rPr>
          <w:rFonts w:eastAsia="Times New Roman"/>
          <w:lang w:val="en-CA" w:eastAsia="fr-CA"/>
        </w:rPr>
        <w:t xml:space="preserve">more than 5 times. </w:t>
      </w:r>
      <w:r w:rsidR="00FB622E" w:rsidRPr="0071085D">
        <w:rPr>
          <w:lang w:val="en-CA"/>
        </w:rPr>
        <w:t xml:space="preserve">All </w:t>
      </w:r>
      <w:r w:rsidR="00890167" w:rsidRPr="0071085D">
        <w:rPr>
          <w:lang w:val="en-CA"/>
        </w:rPr>
        <w:t xml:space="preserve">11 </w:t>
      </w:r>
      <w:r w:rsidR="00FB622E" w:rsidRPr="0071085D">
        <w:rPr>
          <w:lang w:val="en-CA"/>
        </w:rPr>
        <w:t>items were averaged, with higher scores reflecting more substance use</w:t>
      </w:r>
      <w:r w:rsidR="00385007" w:rsidRPr="0071085D">
        <w:rPr>
          <w:rFonts w:eastAsia="Times New Roman"/>
          <w:lang w:val="en-CA" w:eastAsia="fr-CA"/>
        </w:rPr>
        <w:t xml:space="preserve"> </w:t>
      </w:r>
      <w:r w:rsidR="00890167" w:rsidRPr="0071085D">
        <w:rPr>
          <w:rFonts w:eastAsia="Times New Roman"/>
          <w:lang w:val="en-CA" w:eastAsia="fr-CA"/>
        </w:rPr>
        <w:t xml:space="preserve">problems </w:t>
      </w:r>
      <w:r w:rsidR="00385007" w:rsidRPr="0071085D">
        <w:rPr>
          <w:rFonts w:eastAsia="Times New Roman"/>
          <w:lang w:val="en-CA" w:eastAsia="fr-CA"/>
        </w:rPr>
        <w:t>(α = .87).</w:t>
      </w:r>
    </w:p>
    <w:p w14:paraId="0C536D12" w14:textId="12BB4E00" w:rsidR="003B33E1" w:rsidRPr="0071085D" w:rsidRDefault="0047388E" w:rsidP="004235CF">
      <w:pPr>
        <w:spacing w:after="0" w:line="480" w:lineRule="auto"/>
        <w:rPr>
          <w:b/>
          <w:lang w:val="en-CA"/>
        </w:rPr>
      </w:pPr>
      <w:r w:rsidRPr="0071085D">
        <w:rPr>
          <w:b/>
          <w:lang w:val="en-CA"/>
        </w:rPr>
        <w:t>Analy</w:t>
      </w:r>
      <w:r w:rsidR="003B33E1" w:rsidRPr="0071085D">
        <w:rPr>
          <w:b/>
          <w:lang w:val="en-CA"/>
        </w:rPr>
        <w:t>s</w:t>
      </w:r>
      <w:r w:rsidR="004235CF" w:rsidRPr="0071085D">
        <w:rPr>
          <w:b/>
          <w:lang w:val="en-CA"/>
        </w:rPr>
        <w:t>e</w:t>
      </w:r>
      <w:r w:rsidR="003B33E1" w:rsidRPr="0071085D">
        <w:rPr>
          <w:b/>
          <w:lang w:val="en-CA"/>
        </w:rPr>
        <w:t>s</w:t>
      </w:r>
    </w:p>
    <w:p w14:paraId="57CC2750" w14:textId="64F1B560" w:rsidR="005A34C2" w:rsidRPr="0071085D" w:rsidRDefault="00890167" w:rsidP="004235CF">
      <w:pPr>
        <w:widowControl w:val="0"/>
        <w:spacing w:after="0" w:line="480" w:lineRule="auto"/>
        <w:ind w:firstLine="708"/>
        <w:rPr>
          <w:lang w:val="en-CA"/>
        </w:rPr>
      </w:pPr>
      <w:r w:rsidRPr="0071085D">
        <w:rPr>
          <w:lang w:val="en-CA"/>
        </w:rPr>
        <w:t>A</w:t>
      </w:r>
      <w:r w:rsidR="00484A7B" w:rsidRPr="0071085D">
        <w:rPr>
          <w:lang w:val="en-CA"/>
        </w:rPr>
        <w:t xml:space="preserve"> latent class analysis (LCA)</w:t>
      </w:r>
      <w:r w:rsidR="00FE6932" w:rsidRPr="0071085D">
        <w:rPr>
          <w:lang w:val="en-CA"/>
        </w:rPr>
        <w:t xml:space="preserve"> </w:t>
      </w:r>
      <w:r w:rsidRPr="0071085D">
        <w:rPr>
          <w:lang w:val="en-CA"/>
        </w:rPr>
        <w:t xml:space="preserve">was conducted </w:t>
      </w:r>
      <w:r w:rsidR="007715BE" w:rsidRPr="0071085D">
        <w:rPr>
          <w:lang w:val="en-CA"/>
        </w:rPr>
        <w:t>using</w:t>
      </w:r>
      <w:r w:rsidR="00FE6932" w:rsidRPr="0071085D">
        <w:rPr>
          <w:lang w:val="en-CA"/>
        </w:rPr>
        <w:t xml:space="preserve"> </w:t>
      </w:r>
      <w:proofErr w:type="spellStart"/>
      <w:r w:rsidR="00FE6932" w:rsidRPr="0071085D">
        <w:rPr>
          <w:lang w:val="en-CA"/>
        </w:rPr>
        <w:t>Mplus</w:t>
      </w:r>
      <w:proofErr w:type="spellEnd"/>
      <w:r w:rsidR="00FE6932" w:rsidRPr="0071085D">
        <w:rPr>
          <w:lang w:val="en-CA"/>
        </w:rPr>
        <w:t xml:space="preserve"> </w:t>
      </w:r>
      <w:r w:rsidR="000B7765" w:rsidRPr="0071085D">
        <w:rPr>
          <w:lang w:val="en-CA"/>
        </w:rPr>
        <w:t>8.0</w:t>
      </w:r>
      <w:r w:rsidR="00B106DE" w:rsidRPr="0071085D">
        <w:rPr>
          <w:lang w:val="en-CA"/>
        </w:rPr>
        <w:t xml:space="preserve">. We used </w:t>
      </w:r>
      <w:r w:rsidR="00FE6932" w:rsidRPr="0071085D">
        <w:rPr>
          <w:lang w:val="en-CA"/>
        </w:rPr>
        <w:t xml:space="preserve">the </w:t>
      </w:r>
      <w:r w:rsidR="00800934" w:rsidRPr="0071085D">
        <w:rPr>
          <w:lang w:val="en-CA"/>
        </w:rPr>
        <w:t>3-step approach</w:t>
      </w:r>
      <w:r w:rsidR="00192DB3" w:rsidRPr="0071085D">
        <w:rPr>
          <w:lang w:val="en-CA"/>
        </w:rPr>
        <w:t xml:space="preserve"> (i.e., analyze-classify-analyze</w:t>
      </w:r>
      <w:r w:rsidR="004B3476" w:rsidRPr="0071085D">
        <w:rPr>
          <w:lang w:val="en-CA"/>
        </w:rPr>
        <w:t xml:space="preserve">; </w:t>
      </w:r>
      <w:proofErr w:type="spellStart"/>
      <w:r w:rsidR="004B3476" w:rsidRPr="0071085D">
        <w:rPr>
          <w:lang w:val="en-CA"/>
        </w:rPr>
        <w:t>Muthén</w:t>
      </w:r>
      <w:proofErr w:type="spellEnd"/>
      <w:r w:rsidR="004B3476" w:rsidRPr="0071085D">
        <w:rPr>
          <w:lang w:val="en-CA"/>
        </w:rPr>
        <w:t>, 2013</w:t>
      </w:r>
      <w:r w:rsidR="00192DB3" w:rsidRPr="0071085D">
        <w:rPr>
          <w:lang w:val="en-CA"/>
        </w:rPr>
        <w:t>)</w:t>
      </w:r>
      <w:r w:rsidR="00B106DE" w:rsidRPr="0071085D">
        <w:rPr>
          <w:lang w:val="en-CA"/>
        </w:rPr>
        <w:t xml:space="preserve">, </w:t>
      </w:r>
      <w:r w:rsidR="00FF2993" w:rsidRPr="0071085D">
        <w:rPr>
          <w:lang w:val="en-CA"/>
        </w:rPr>
        <w:t>a</w:t>
      </w:r>
      <w:r w:rsidR="00210EDD" w:rsidRPr="0071085D">
        <w:rPr>
          <w:lang w:val="en-CA"/>
        </w:rPr>
        <w:t xml:space="preserve"> </w:t>
      </w:r>
      <w:r w:rsidR="00FF2993" w:rsidRPr="0071085D">
        <w:rPr>
          <w:lang w:val="en-CA"/>
        </w:rPr>
        <w:t xml:space="preserve">procedure </w:t>
      </w:r>
      <w:r w:rsidR="00210EDD" w:rsidRPr="0071085D">
        <w:rPr>
          <w:lang w:val="en-CA"/>
        </w:rPr>
        <w:t xml:space="preserve">in which </w:t>
      </w:r>
      <w:r w:rsidR="001416DE" w:rsidRPr="0071085D">
        <w:rPr>
          <w:lang w:val="en-CA"/>
        </w:rPr>
        <w:t>the model and external variables are estimated separately</w:t>
      </w:r>
      <w:r w:rsidR="00210EDD" w:rsidRPr="0071085D">
        <w:rPr>
          <w:lang w:val="en-CA"/>
        </w:rPr>
        <w:t xml:space="preserve">, allowing both model </w:t>
      </w:r>
      <w:r w:rsidR="001416DE" w:rsidRPr="0071085D">
        <w:rPr>
          <w:lang w:val="en-CA"/>
        </w:rPr>
        <w:t>and class membership</w:t>
      </w:r>
      <w:r w:rsidR="00210EDD" w:rsidRPr="0071085D">
        <w:rPr>
          <w:lang w:val="en-CA"/>
        </w:rPr>
        <w:t>s to</w:t>
      </w:r>
      <w:r w:rsidR="001416DE" w:rsidRPr="0071085D">
        <w:rPr>
          <w:lang w:val="en-CA"/>
        </w:rPr>
        <w:t xml:space="preserve"> remain stable </w:t>
      </w:r>
      <w:r w:rsidR="00BC5B7A" w:rsidRPr="0071085D">
        <w:rPr>
          <w:lang w:val="en-CA"/>
        </w:rPr>
        <w:t>when external variables</w:t>
      </w:r>
      <w:r w:rsidR="00540722" w:rsidRPr="0071085D">
        <w:rPr>
          <w:lang w:val="en-CA"/>
        </w:rPr>
        <w:t xml:space="preserve"> are examined</w:t>
      </w:r>
      <w:r w:rsidR="001416DE" w:rsidRPr="0071085D">
        <w:rPr>
          <w:lang w:val="en-CA"/>
        </w:rPr>
        <w:t xml:space="preserve"> (</w:t>
      </w:r>
      <w:proofErr w:type="spellStart"/>
      <w:r w:rsidR="001416DE" w:rsidRPr="0071085D">
        <w:rPr>
          <w:lang w:val="en-CA"/>
        </w:rPr>
        <w:t>Asparouhov</w:t>
      </w:r>
      <w:proofErr w:type="spellEnd"/>
      <w:r w:rsidR="001416DE" w:rsidRPr="0071085D">
        <w:rPr>
          <w:lang w:val="en-CA"/>
        </w:rPr>
        <w:t xml:space="preserve"> &amp; </w:t>
      </w:r>
      <w:proofErr w:type="spellStart"/>
      <w:r w:rsidR="001416DE" w:rsidRPr="0071085D">
        <w:rPr>
          <w:lang w:val="en-CA"/>
        </w:rPr>
        <w:t>Muth</w:t>
      </w:r>
      <w:r w:rsidR="00CD792C" w:rsidRPr="0071085D">
        <w:rPr>
          <w:lang w:val="en-CA"/>
        </w:rPr>
        <w:t>é</w:t>
      </w:r>
      <w:r w:rsidR="001416DE" w:rsidRPr="0071085D">
        <w:rPr>
          <w:lang w:val="en-CA"/>
        </w:rPr>
        <w:t>n</w:t>
      </w:r>
      <w:proofErr w:type="spellEnd"/>
      <w:r w:rsidR="001416DE" w:rsidRPr="0071085D">
        <w:rPr>
          <w:lang w:val="en-CA"/>
        </w:rPr>
        <w:t xml:space="preserve">, 2014; </w:t>
      </w:r>
      <w:proofErr w:type="spellStart"/>
      <w:r w:rsidR="001416DE" w:rsidRPr="0071085D">
        <w:rPr>
          <w:lang w:val="en-CA"/>
        </w:rPr>
        <w:t>Vermunt</w:t>
      </w:r>
      <w:proofErr w:type="spellEnd"/>
      <w:r w:rsidR="001416DE" w:rsidRPr="0071085D">
        <w:rPr>
          <w:lang w:val="en-CA"/>
        </w:rPr>
        <w:t xml:space="preserve">, 2010). </w:t>
      </w:r>
      <w:r w:rsidR="00FE6932" w:rsidRPr="0071085D">
        <w:rPr>
          <w:lang w:val="en-CA"/>
        </w:rPr>
        <w:t>In step 1,</w:t>
      </w:r>
      <w:r w:rsidR="00210EDD" w:rsidRPr="0071085D">
        <w:rPr>
          <w:lang w:val="en-CA"/>
        </w:rPr>
        <w:t xml:space="preserve"> multiple latent class models were estimated using the six risk-taking indicators.</w:t>
      </w:r>
      <w:r w:rsidR="00FE6932" w:rsidRPr="0071085D">
        <w:rPr>
          <w:lang w:val="en-CA"/>
        </w:rPr>
        <w:t xml:space="preserve"> </w:t>
      </w:r>
      <w:r w:rsidR="00210EDD" w:rsidRPr="0071085D">
        <w:rPr>
          <w:lang w:val="en-CA"/>
        </w:rPr>
        <w:t xml:space="preserve">Selection of the optimal model was based on </w:t>
      </w:r>
      <w:r w:rsidR="0050632A" w:rsidRPr="0071085D">
        <w:rPr>
          <w:lang w:val="en-CA"/>
        </w:rPr>
        <w:t xml:space="preserve">several </w:t>
      </w:r>
      <w:r w:rsidR="00210EDD" w:rsidRPr="0071085D">
        <w:rPr>
          <w:lang w:val="en-CA"/>
        </w:rPr>
        <w:t>fit indices</w:t>
      </w:r>
      <w:r w:rsidR="0050632A" w:rsidRPr="0071085D">
        <w:rPr>
          <w:lang w:val="en-CA"/>
        </w:rPr>
        <w:t>, such as information criteria</w:t>
      </w:r>
      <w:r w:rsidR="007229AC" w:rsidRPr="0071085D">
        <w:rPr>
          <w:lang w:val="en-CA"/>
        </w:rPr>
        <w:t xml:space="preserve"> (</w:t>
      </w:r>
      <w:r w:rsidR="0050632A" w:rsidRPr="0071085D">
        <w:rPr>
          <w:lang w:val="en-CA"/>
        </w:rPr>
        <w:t xml:space="preserve">e.g., </w:t>
      </w:r>
      <w:r w:rsidR="007229AC" w:rsidRPr="0071085D">
        <w:rPr>
          <w:color w:val="000000"/>
          <w:lang w:val="en-CA"/>
        </w:rPr>
        <w:t>B</w:t>
      </w:r>
      <w:r w:rsidR="0050632A" w:rsidRPr="0071085D">
        <w:rPr>
          <w:color w:val="000000"/>
          <w:lang w:val="en-CA"/>
        </w:rPr>
        <w:t xml:space="preserve">ayesian </w:t>
      </w:r>
      <w:r w:rsidR="007229AC" w:rsidRPr="0071085D">
        <w:rPr>
          <w:color w:val="000000"/>
          <w:lang w:val="en-CA"/>
        </w:rPr>
        <w:t>I</w:t>
      </w:r>
      <w:r w:rsidR="0050632A" w:rsidRPr="0071085D">
        <w:rPr>
          <w:color w:val="000000"/>
          <w:lang w:val="en-CA"/>
        </w:rPr>
        <w:t xml:space="preserve">nformation </w:t>
      </w:r>
      <w:r w:rsidR="007229AC" w:rsidRPr="0071085D">
        <w:rPr>
          <w:color w:val="000000"/>
          <w:lang w:val="en-CA"/>
        </w:rPr>
        <w:t>C</w:t>
      </w:r>
      <w:r w:rsidR="0050632A" w:rsidRPr="0071085D">
        <w:rPr>
          <w:color w:val="000000"/>
          <w:lang w:val="en-CA"/>
        </w:rPr>
        <w:t>riteria [BIC]</w:t>
      </w:r>
      <w:r w:rsidR="007229AC" w:rsidRPr="0071085D">
        <w:rPr>
          <w:color w:val="000000"/>
          <w:lang w:val="en-CA"/>
        </w:rPr>
        <w:t>, BIC-adjusted</w:t>
      </w:r>
      <w:r w:rsidR="0050632A" w:rsidRPr="0071085D">
        <w:rPr>
          <w:color w:val="000000"/>
          <w:lang w:val="en-CA"/>
        </w:rPr>
        <w:t>)</w:t>
      </w:r>
      <w:r w:rsidR="007229AC" w:rsidRPr="0071085D">
        <w:rPr>
          <w:color w:val="000000"/>
          <w:lang w:val="en-CA"/>
        </w:rPr>
        <w:t xml:space="preserve">, </w:t>
      </w:r>
      <w:r w:rsidR="0050632A" w:rsidRPr="0071085D">
        <w:rPr>
          <w:color w:val="000000"/>
          <w:lang w:val="en-CA"/>
        </w:rPr>
        <w:t>likelihood ratio tests (e.g., Lo-Mendell-Rubin adjusted likelihood ratio test [</w:t>
      </w:r>
      <w:r w:rsidR="007229AC" w:rsidRPr="0071085D">
        <w:rPr>
          <w:color w:val="000000"/>
          <w:lang w:val="en-CA"/>
        </w:rPr>
        <w:t>LMR-LRT</w:t>
      </w:r>
      <w:r w:rsidR="0050632A" w:rsidRPr="0071085D">
        <w:rPr>
          <w:color w:val="000000"/>
          <w:lang w:val="en-CA"/>
        </w:rPr>
        <w:t>]</w:t>
      </w:r>
      <w:r w:rsidR="007229AC" w:rsidRPr="0071085D">
        <w:rPr>
          <w:color w:val="000000"/>
          <w:lang w:val="en-CA"/>
        </w:rPr>
        <w:t xml:space="preserve">, </w:t>
      </w:r>
      <w:r w:rsidR="0050632A" w:rsidRPr="0071085D">
        <w:rPr>
          <w:color w:val="000000"/>
          <w:lang w:val="en-CA"/>
        </w:rPr>
        <w:t>Bootstrap likelihood ratio test [</w:t>
      </w:r>
      <w:r w:rsidR="007229AC" w:rsidRPr="0071085D">
        <w:rPr>
          <w:color w:val="000000"/>
          <w:lang w:val="en-CA"/>
        </w:rPr>
        <w:t>BLRT</w:t>
      </w:r>
      <w:r w:rsidR="0050632A" w:rsidRPr="0071085D">
        <w:rPr>
          <w:color w:val="000000"/>
          <w:lang w:val="en-CA"/>
        </w:rPr>
        <w:t>]</w:t>
      </w:r>
      <w:r w:rsidR="0011058C" w:rsidRPr="0071085D">
        <w:rPr>
          <w:color w:val="000000"/>
          <w:lang w:val="en-CA"/>
        </w:rPr>
        <w:t>)</w:t>
      </w:r>
      <w:r w:rsidR="0050632A" w:rsidRPr="0071085D">
        <w:rPr>
          <w:color w:val="000000"/>
          <w:lang w:val="en-CA"/>
        </w:rPr>
        <w:t>, and</w:t>
      </w:r>
      <w:r w:rsidR="007229AC" w:rsidRPr="0071085D">
        <w:rPr>
          <w:color w:val="000000"/>
          <w:lang w:val="en-CA"/>
        </w:rPr>
        <w:t xml:space="preserve"> </w:t>
      </w:r>
      <w:r w:rsidR="0050632A" w:rsidRPr="0071085D">
        <w:rPr>
          <w:color w:val="000000"/>
          <w:lang w:val="en-CA"/>
        </w:rPr>
        <w:t>measure</w:t>
      </w:r>
      <w:r w:rsidR="0011058C" w:rsidRPr="0071085D">
        <w:rPr>
          <w:color w:val="000000"/>
          <w:lang w:val="en-CA"/>
        </w:rPr>
        <w:t>s</w:t>
      </w:r>
      <w:r w:rsidR="0050632A" w:rsidRPr="0071085D">
        <w:rPr>
          <w:color w:val="000000"/>
          <w:lang w:val="en-CA"/>
        </w:rPr>
        <w:t xml:space="preserve"> of classification accuracy (</w:t>
      </w:r>
      <w:r w:rsidR="0090573F" w:rsidRPr="0071085D">
        <w:rPr>
          <w:color w:val="000000"/>
          <w:lang w:val="en-CA"/>
        </w:rPr>
        <w:t>i.e</w:t>
      </w:r>
      <w:r w:rsidR="0050632A" w:rsidRPr="0071085D">
        <w:rPr>
          <w:color w:val="000000"/>
          <w:lang w:val="en-CA"/>
        </w:rPr>
        <w:t>.,</w:t>
      </w:r>
      <w:r w:rsidR="0090573F" w:rsidRPr="0071085D">
        <w:rPr>
          <w:color w:val="000000"/>
          <w:lang w:val="en-CA"/>
        </w:rPr>
        <w:t xml:space="preserve"> </w:t>
      </w:r>
      <w:r w:rsidR="007229AC" w:rsidRPr="0071085D">
        <w:rPr>
          <w:color w:val="000000"/>
          <w:lang w:val="en-CA"/>
        </w:rPr>
        <w:t>entropy)</w:t>
      </w:r>
      <w:r w:rsidR="0050632A" w:rsidRPr="0071085D">
        <w:rPr>
          <w:lang w:val="en-CA"/>
        </w:rPr>
        <w:t>. N</w:t>
      </w:r>
      <w:r w:rsidR="00210EDD" w:rsidRPr="0071085D">
        <w:rPr>
          <w:lang w:val="en-CA"/>
        </w:rPr>
        <w:t>umber of participants assigned in each class (</w:t>
      </w:r>
      <w:r w:rsidR="0050632A" w:rsidRPr="0071085D">
        <w:rPr>
          <w:lang w:val="en-CA"/>
        </w:rPr>
        <w:t>i.e., minimum 5% in each class)</w:t>
      </w:r>
      <w:r w:rsidR="00210EDD" w:rsidRPr="0071085D">
        <w:rPr>
          <w:lang w:val="en-CA"/>
        </w:rPr>
        <w:t xml:space="preserve"> and interpretability (</w:t>
      </w:r>
      <w:r w:rsidR="004939E9" w:rsidRPr="0071085D">
        <w:rPr>
          <w:lang w:val="en-CA"/>
        </w:rPr>
        <w:t>Nylund et al., 2007)</w:t>
      </w:r>
      <w:r w:rsidR="0050632A" w:rsidRPr="0071085D">
        <w:rPr>
          <w:lang w:val="en-CA"/>
        </w:rPr>
        <w:t xml:space="preserve"> were also taken into consideration in </w:t>
      </w:r>
      <w:r w:rsidR="0011058C" w:rsidRPr="0071085D">
        <w:rPr>
          <w:lang w:val="en-CA"/>
        </w:rPr>
        <w:t>selecting the optimal model</w:t>
      </w:r>
      <w:r w:rsidR="004939E9" w:rsidRPr="0071085D">
        <w:rPr>
          <w:lang w:val="en-CA"/>
        </w:rPr>
        <w:t>.</w:t>
      </w:r>
      <w:r w:rsidR="00331346" w:rsidRPr="0071085D">
        <w:rPr>
          <w:lang w:val="en-CA"/>
        </w:rPr>
        <w:t xml:space="preserve"> </w:t>
      </w:r>
      <w:r w:rsidR="00800934" w:rsidRPr="0071085D">
        <w:rPr>
          <w:lang w:val="en-CA"/>
        </w:rPr>
        <w:t>In step 2, partici</w:t>
      </w:r>
      <w:r w:rsidR="00210EDD" w:rsidRPr="0071085D">
        <w:rPr>
          <w:lang w:val="en-CA"/>
        </w:rPr>
        <w:t xml:space="preserve">pants were assigned to a </w:t>
      </w:r>
      <w:r w:rsidR="00800934" w:rsidRPr="0071085D">
        <w:rPr>
          <w:lang w:val="en-CA"/>
        </w:rPr>
        <w:t xml:space="preserve">class based on their </w:t>
      </w:r>
      <w:r w:rsidR="00210EDD" w:rsidRPr="0071085D">
        <w:rPr>
          <w:lang w:val="en-CA"/>
        </w:rPr>
        <w:t xml:space="preserve">optimal </w:t>
      </w:r>
      <w:r w:rsidR="00800934" w:rsidRPr="0071085D">
        <w:rPr>
          <w:lang w:val="en-CA"/>
        </w:rPr>
        <w:t xml:space="preserve">class membership probability. In step 3, </w:t>
      </w:r>
      <w:r w:rsidR="004E7706" w:rsidRPr="0071085D">
        <w:rPr>
          <w:lang w:val="en-CA"/>
        </w:rPr>
        <w:t xml:space="preserve">associations between classes and external variables </w:t>
      </w:r>
      <w:r w:rsidR="007C136E" w:rsidRPr="0071085D">
        <w:rPr>
          <w:lang w:val="en-CA"/>
        </w:rPr>
        <w:t xml:space="preserve">were examined </w:t>
      </w:r>
      <w:r w:rsidR="00631009" w:rsidRPr="0071085D">
        <w:rPr>
          <w:lang w:val="en-CA"/>
        </w:rPr>
        <w:t>separately for variables hypothesized to predict class membership (i.e., multinomial logistic regression) and classes</w:t>
      </w:r>
      <w:r w:rsidR="00631009" w:rsidRPr="0071085D">
        <w:rPr>
          <w:lang w:val="en-US"/>
        </w:rPr>
        <w:t>’</w:t>
      </w:r>
      <w:r w:rsidR="00631009" w:rsidRPr="0071085D">
        <w:rPr>
          <w:lang w:val="en-CA"/>
        </w:rPr>
        <w:t xml:space="preserve"> outcomes (i.e., </w:t>
      </w:r>
      <w:r w:rsidR="00652567" w:rsidRPr="0071085D">
        <w:rPr>
          <w:lang w:val="en-CA"/>
        </w:rPr>
        <w:t>Wald</w:t>
      </w:r>
      <w:r w:rsidR="004B7FDF" w:rsidRPr="0071085D">
        <w:rPr>
          <w:lang w:val="en-CA"/>
        </w:rPr>
        <w:t xml:space="preserve"> </w:t>
      </w:r>
      <w:r w:rsidR="00652567" w:rsidRPr="0071085D">
        <w:rPr>
          <w:lang w:val="en-CA"/>
        </w:rPr>
        <w:t>test</w:t>
      </w:r>
      <w:r w:rsidR="004B7FDF" w:rsidRPr="0071085D">
        <w:rPr>
          <w:lang w:val="en-CA"/>
        </w:rPr>
        <w:t xml:space="preserve">s </w:t>
      </w:r>
      <w:r w:rsidR="00631009" w:rsidRPr="0071085D">
        <w:rPr>
          <w:lang w:val="en-CA"/>
        </w:rPr>
        <w:t xml:space="preserve">and </w:t>
      </w:r>
      <w:proofErr w:type="spellStart"/>
      <w:r w:rsidR="00631009" w:rsidRPr="0071085D">
        <w:rPr>
          <w:lang w:val="en-CA"/>
        </w:rPr>
        <w:t>posthoc</w:t>
      </w:r>
      <w:proofErr w:type="spellEnd"/>
      <w:r w:rsidR="00631009" w:rsidRPr="0071085D">
        <w:rPr>
          <w:lang w:val="en-CA"/>
        </w:rPr>
        <w:t xml:space="preserve"> analyses).</w:t>
      </w:r>
    </w:p>
    <w:p w14:paraId="56CCDA5E" w14:textId="6A3780FF" w:rsidR="003369AD" w:rsidRPr="0071085D" w:rsidRDefault="00961ACE" w:rsidP="004235CF">
      <w:pPr>
        <w:widowControl w:val="0"/>
        <w:spacing w:after="0" w:line="480" w:lineRule="auto"/>
        <w:contextualSpacing/>
        <w:jc w:val="center"/>
        <w:rPr>
          <w:b/>
          <w:lang w:val="en-CA"/>
        </w:rPr>
      </w:pPr>
      <w:r w:rsidRPr="0071085D">
        <w:rPr>
          <w:b/>
          <w:lang w:val="en-CA"/>
        </w:rPr>
        <w:t>Results</w:t>
      </w:r>
    </w:p>
    <w:p w14:paraId="6BA26A9C" w14:textId="603CBC92" w:rsidR="004E0DCD" w:rsidRPr="0071085D" w:rsidRDefault="002246DE" w:rsidP="004235CF">
      <w:pPr>
        <w:widowControl w:val="0"/>
        <w:autoSpaceDE w:val="0"/>
        <w:autoSpaceDN w:val="0"/>
        <w:adjustRightInd w:val="0"/>
        <w:spacing w:after="0" w:line="480" w:lineRule="auto"/>
        <w:rPr>
          <w:b/>
          <w:color w:val="000000"/>
          <w:lang w:val="en-CA"/>
        </w:rPr>
      </w:pPr>
      <w:r w:rsidRPr="0071085D">
        <w:rPr>
          <w:b/>
          <w:color w:val="000000"/>
          <w:lang w:val="en-CA"/>
        </w:rPr>
        <w:t xml:space="preserve">Risk-Taking </w:t>
      </w:r>
      <w:r w:rsidR="00ED2659" w:rsidRPr="0071085D">
        <w:rPr>
          <w:b/>
          <w:color w:val="000000"/>
          <w:lang w:val="en-CA"/>
        </w:rPr>
        <w:t xml:space="preserve">Latent Classes </w:t>
      </w:r>
    </w:p>
    <w:p w14:paraId="616239CE" w14:textId="082439BC" w:rsidR="003A07A0" w:rsidRPr="0071085D" w:rsidRDefault="003A07A0" w:rsidP="003A07A0">
      <w:pPr>
        <w:widowControl w:val="0"/>
        <w:autoSpaceDE w:val="0"/>
        <w:autoSpaceDN w:val="0"/>
        <w:adjustRightInd w:val="0"/>
        <w:spacing w:after="0" w:line="480" w:lineRule="auto"/>
        <w:rPr>
          <w:i/>
          <w:color w:val="000000"/>
          <w:lang w:val="en-CA"/>
        </w:rPr>
      </w:pPr>
      <w:r w:rsidRPr="0071085D">
        <w:rPr>
          <w:rFonts w:eastAsia="Times New Roman"/>
          <w:i/>
          <w:lang w:val="en-CA" w:eastAsia="fr-CA"/>
        </w:rPr>
        <w:t>Model Selection</w:t>
      </w:r>
    </w:p>
    <w:p w14:paraId="5D803BA6" w14:textId="3E844E2B" w:rsidR="003A07A0" w:rsidRPr="0071085D" w:rsidRDefault="00BE643D" w:rsidP="004235CF">
      <w:pPr>
        <w:widowControl w:val="0"/>
        <w:autoSpaceDE w:val="0"/>
        <w:autoSpaceDN w:val="0"/>
        <w:adjustRightInd w:val="0"/>
        <w:spacing w:after="0" w:line="480" w:lineRule="auto"/>
        <w:ind w:firstLine="708"/>
        <w:rPr>
          <w:rFonts w:eastAsia="Times New Roman"/>
          <w:lang w:val="en-CA" w:eastAsia="fr-CA"/>
        </w:rPr>
      </w:pPr>
      <w:r w:rsidRPr="0071085D">
        <w:rPr>
          <w:color w:val="000000"/>
          <w:lang w:val="en-CA"/>
        </w:rPr>
        <w:t xml:space="preserve">Comparisons </w:t>
      </w:r>
      <w:r w:rsidRPr="0071085D">
        <w:rPr>
          <w:lang w:val="en-CA"/>
        </w:rPr>
        <w:t xml:space="preserve">with competing models with more or fewer classes </w:t>
      </w:r>
      <w:r w:rsidRPr="0071085D">
        <w:rPr>
          <w:color w:val="000000"/>
          <w:lang w:val="en-CA"/>
        </w:rPr>
        <w:t>suggested that the 4-class model had the best-fitting solution</w:t>
      </w:r>
      <w:r w:rsidRPr="0071085D" w:rsidDel="006A44E8">
        <w:rPr>
          <w:color w:val="000000"/>
          <w:lang w:val="en-CA"/>
        </w:rPr>
        <w:t xml:space="preserve"> </w:t>
      </w:r>
      <w:r w:rsidRPr="0071085D">
        <w:rPr>
          <w:color w:val="000000"/>
          <w:lang w:val="en-CA"/>
        </w:rPr>
        <w:t xml:space="preserve">(see Table 2). </w:t>
      </w:r>
      <w:r w:rsidR="003A07A0" w:rsidRPr="0071085D">
        <w:rPr>
          <w:rFonts w:eastAsia="Times New Roman"/>
          <w:lang w:val="en-CA" w:eastAsia="fr-CA"/>
        </w:rPr>
        <w:t xml:space="preserve">While the BIC had the lowest value for </w:t>
      </w:r>
      <w:r w:rsidR="003A07A0" w:rsidRPr="0071085D">
        <w:rPr>
          <w:rFonts w:eastAsia="Times New Roman"/>
          <w:lang w:val="en-CA" w:eastAsia="fr-CA"/>
        </w:rPr>
        <w:lastRenderedPageBreak/>
        <w:t>the 3-class model, the BIC-adjusted value stopped decreasing in the 4-class model, indicating an optimal balance of goodness of fit and model parsimony. Also, p-values for the LMR-LRT became non-significant for the 5-class model, suggesting that the 5-class model did not improve the model fit in comparison with the 4-class model. Even though the BLRT value was still significant for the 6-class model, BIC-adjusted and LMR-LRT values were favoured based on the convergence of their fit indices. The 4-class model also had the highest entropy value and very high mean class assignment probabilities for each latent class, indicating great classification accuracy and class separation. From a theoretical standpoint, the 4-class model allowed for the identification of a subgroup of high-risk takers overlooked in the 3-class model, which was consistent with previous studies (</w:t>
      </w:r>
      <w:proofErr w:type="gramStart"/>
      <w:r w:rsidR="003A07A0" w:rsidRPr="0071085D">
        <w:rPr>
          <w:rFonts w:eastAsia="Times New Roman"/>
          <w:lang w:val="en-CA" w:eastAsia="fr-CA"/>
        </w:rPr>
        <w:t>Masters</w:t>
      </w:r>
      <w:proofErr w:type="gramEnd"/>
      <w:r w:rsidR="003A07A0" w:rsidRPr="0071085D">
        <w:rPr>
          <w:rFonts w:eastAsia="Times New Roman"/>
          <w:lang w:val="en-CA" w:eastAsia="fr-CA"/>
        </w:rPr>
        <w:t xml:space="preserve"> et al., 2015).</w:t>
      </w:r>
    </w:p>
    <w:p w14:paraId="74B79F49" w14:textId="0667DD38" w:rsidR="003A07A0" w:rsidRPr="0071085D" w:rsidRDefault="003A07A0" w:rsidP="003A07A0">
      <w:pPr>
        <w:widowControl w:val="0"/>
        <w:autoSpaceDE w:val="0"/>
        <w:autoSpaceDN w:val="0"/>
        <w:adjustRightInd w:val="0"/>
        <w:spacing w:after="0" w:line="480" w:lineRule="auto"/>
        <w:rPr>
          <w:i/>
          <w:color w:val="000000"/>
          <w:lang w:val="en-CA"/>
        </w:rPr>
      </w:pPr>
      <w:r w:rsidRPr="0071085D">
        <w:rPr>
          <w:i/>
          <w:color w:val="000000"/>
          <w:lang w:val="en-CA"/>
        </w:rPr>
        <w:t xml:space="preserve">Risk-Taking Latent Classes Description </w:t>
      </w:r>
    </w:p>
    <w:p w14:paraId="25C1840E" w14:textId="0BF8F887" w:rsidR="00DF3A6C" w:rsidRPr="0071085D" w:rsidRDefault="00BE643D" w:rsidP="003A07A0">
      <w:pPr>
        <w:widowControl w:val="0"/>
        <w:autoSpaceDE w:val="0"/>
        <w:autoSpaceDN w:val="0"/>
        <w:adjustRightInd w:val="0"/>
        <w:spacing w:after="0" w:line="480" w:lineRule="auto"/>
        <w:ind w:firstLine="709"/>
        <w:rPr>
          <w:color w:val="000000"/>
          <w:lang w:val="en-CA"/>
        </w:rPr>
      </w:pPr>
      <w:r w:rsidRPr="0071085D">
        <w:rPr>
          <w:color w:val="000000"/>
          <w:lang w:val="en-CA"/>
        </w:rPr>
        <w:t>T</w:t>
      </w:r>
      <w:r w:rsidR="00793A85" w:rsidRPr="0071085D">
        <w:rPr>
          <w:color w:val="000000"/>
          <w:lang w:val="en-CA"/>
        </w:rPr>
        <w:t xml:space="preserve">he </w:t>
      </w:r>
      <w:r w:rsidR="00CA1C27" w:rsidRPr="0071085D">
        <w:rPr>
          <w:color w:val="000000"/>
          <w:lang w:val="en-CA"/>
        </w:rPr>
        <w:t>four latent classes labelled as</w:t>
      </w:r>
      <w:r w:rsidR="003919EF" w:rsidRPr="0071085D">
        <w:rPr>
          <w:color w:val="000000"/>
          <w:lang w:val="en-CA"/>
        </w:rPr>
        <w:t xml:space="preserve"> follow</w:t>
      </w:r>
      <w:r w:rsidR="000F2FE3" w:rsidRPr="0071085D">
        <w:rPr>
          <w:color w:val="000000"/>
          <w:lang w:val="en-CA"/>
        </w:rPr>
        <w:t>s</w:t>
      </w:r>
      <w:r w:rsidR="00CA1C27" w:rsidRPr="0071085D">
        <w:rPr>
          <w:color w:val="000000"/>
          <w:lang w:val="en-CA"/>
        </w:rPr>
        <w:t xml:space="preserve">: </w:t>
      </w:r>
      <w:bookmarkStart w:id="7" w:name="_Hlk486535077"/>
      <w:r w:rsidR="00CA1C27" w:rsidRPr="0071085D">
        <w:rPr>
          <w:color w:val="000000"/>
          <w:lang w:val="en-CA"/>
        </w:rPr>
        <w:t xml:space="preserve">(1) </w:t>
      </w:r>
      <w:r w:rsidR="00923EBB" w:rsidRPr="0071085D">
        <w:rPr>
          <w:i/>
          <w:color w:val="000000"/>
          <w:lang w:val="en-CA"/>
        </w:rPr>
        <w:t xml:space="preserve">inactive </w:t>
      </w:r>
      <w:r w:rsidR="00CA1C27" w:rsidRPr="0071085D">
        <w:rPr>
          <w:i/>
          <w:color w:val="000000"/>
          <w:lang w:val="en-CA"/>
        </w:rPr>
        <w:t>low-risk</w:t>
      </w:r>
      <w:r w:rsidR="00CA1C27" w:rsidRPr="0071085D">
        <w:rPr>
          <w:color w:val="000000"/>
          <w:lang w:val="en-CA"/>
        </w:rPr>
        <w:t xml:space="preserve">; (2) </w:t>
      </w:r>
      <w:r w:rsidR="00CA1C27" w:rsidRPr="0071085D">
        <w:rPr>
          <w:i/>
          <w:color w:val="000000"/>
          <w:lang w:val="en-CA"/>
        </w:rPr>
        <w:t>active</w:t>
      </w:r>
      <w:r w:rsidR="00CA1C27" w:rsidRPr="0071085D">
        <w:rPr>
          <w:color w:val="000000"/>
          <w:lang w:val="en-CA"/>
        </w:rPr>
        <w:t xml:space="preserve"> </w:t>
      </w:r>
      <w:r w:rsidR="00CA1C27" w:rsidRPr="0071085D">
        <w:rPr>
          <w:i/>
          <w:color w:val="000000"/>
          <w:lang w:val="en-CA"/>
        </w:rPr>
        <w:t>low-risk</w:t>
      </w:r>
      <w:r w:rsidR="00CA1C27" w:rsidRPr="0071085D">
        <w:rPr>
          <w:color w:val="000000"/>
          <w:lang w:val="en-CA"/>
        </w:rPr>
        <w:t xml:space="preserve">; (3) </w:t>
      </w:r>
      <w:r w:rsidR="00CA1C27" w:rsidRPr="0071085D">
        <w:rPr>
          <w:i/>
          <w:color w:val="000000"/>
          <w:lang w:val="en-CA"/>
        </w:rPr>
        <w:t>mid-risk</w:t>
      </w:r>
      <w:r w:rsidR="00CA1C27" w:rsidRPr="0071085D">
        <w:rPr>
          <w:color w:val="000000"/>
          <w:lang w:val="en-CA"/>
        </w:rPr>
        <w:t xml:space="preserve">; and (4) </w:t>
      </w:r>
      <w:r w:rsidR="00CA1C27" w:rsidRPr="0071085D">
        <w:rPr>
          <w:i/>
          <w:color w:val="000000"/>
          <w:lang w:val="en-CA"/>
        </w:rPr>
        <w:t>high-risk</w:t>
      </w:r>
      <w:bookmarkEnd w:id="7"/>
      <w:r w:rsidRPr="0071085D">
        <w:rPr>
          <w:color w:val="000000"/>
          <w:lang w:val="en-CA"/>
        </w:rPr>
        <w:t xml:space="preserve"> (see Table 3)</w:t>
      </w:r>
      <w:r w:rsidR="00CA1C27" w:rsidRPr="0071085D">
        <w:rPr>
          <w:color w:val="000000"/>
          <w:lang w:val="en-CA"/>
        </w:rPr>
        <w:t xml:space="preserve">. </w:t>
      </w:r>
      <w:r w:rsidR="009C78F6" w:rsidRPr="0071085D">
        <w:rPr>
          <w:color w:val="000000"/>
          <w:lang w:val="en-CA"/>
        </w:rPr>
        <w:t>Individuals classified in the</w:t>
      </w:r>
      <w:r w:rsidR="006A3815" w:rsidRPr="0071085D">
        <w:rPr>
          <w:color w:val="000000"/>
          <w:lang w:val="en-CA"/>
        </w:rPr>
        <w:t xml:space="preserve"> </w:t>
      </w:r>
      <w:r w:rsidR="00923EBB" w:rsidRPr="0071085D">
        <w:rPr>
          <w:i/>
          <w:color w:val="000000"/>
          <w:lang w:val="en-CA"/>
        </w:rPr>
        <w:t xml:space="preserve">inactive </w:t>
      </w:r>
      <w:r w:rsidR="006A3815" w:rsidRPr="0071085D">
        <w:rPr>
          <w:i/>
          <w:color w:val="000000"/>
          <w:lang w:val="en-CA"/>
        </w:rPr>
        <w:t xml:space="preserve">low-risk </w:t>
      </w:r>
      <w:r w:rsidR="00EF7942" w:rsidRPr="0071085D">
        <w:rPr>
          <w:color w:val="000000"/>
          <w:lang w:val="en-CA"/>
        </w:rPr>
        <w:t>profile</w:t>
      </w:r>
      <w:r w:rsidR="003C1F08" w:rsidRPr="0071085D">
        <w:rPr>
          <w:color w:val="000000"/>
          <w:lang w:val="en-CA"/>
        </w:rPr>
        <w:t xml:space="preserve"> (13.5%)</w:t>
      </w:r>
      <w:r w:rsidR="006A3815" w:rsidRPr="0071085D">
        <w:rPr>
          <w:color w:val="000000"/>
          <w:lang w:val="en-CA"/>
        </w:rPr>
        <w:t xml:space="preserve"> </w:t>
      </w:r>
      <w:r w:rsidR="003C1F08" w:rsidRPr="0071085D">
        <w:rPr>
          <w:color w:val="000000"/>
          <w:lang w:val="en-CA"/>
        </w:rPr>
        <w:t>w</w:t>
      </w:r>
      <w:r w:rsidR="009C78F6" w:rsidRPr="0071085D">
        <w:rPr>
          <w:color w:val="000000"/>
          <w:lang w:val="en-CA"/>
        </w:rPr>
        <w:t>ere</w:t>
      </w:r>
      <w:r w:rsidR="003C1F08" w:rsidRPr="0071085D">
        <w:rPr>
          <w:color w:val="000000"/>
          <w:lang w:val="en-CA"/>
        </w:rPr>
        <w:t xml:space="preserve"> </w:t>
      </w:r>
      <w:r w:rsidR="00C4484D" w:rsidRPr="0071085D">
        <w:rPr>
          <w:color w:val="000000"/>
          <w:lang w:val="en-CA"/>
        </w:rPr>
        <w:t>the least likely to engage in</w:t>
      </w:r>
      <w:r w:rsidR="003C1F08" w:rsidRPr="0071085D">
        <w:rPr>
          <w:color w:val="000000"/>
          <w:lang w:val="en-CA"/>
        </w:rPr>
        <w:t xml:space="preserve"> </w:t>
      </w:r>
      <w:r w:rsidR="009C78F6" w:rsidRPr="0071085D">
        <w:rPr>
          <w:color w:val="000000"/>
          <w:lang w:val="en-CA"/>
        </w:rPr>
        <w:t xml:space="preserve">any </w:t>
      </w:r>
      <w:r w:rsidR="00D8665A" w:rsidRPr="0071085D">
        <w:rPr>
          <w:color w:val="000000"/>
          <w:lang w:val="en-CA"/>
        </w:rPr>
        <w:t xml:space="preserve">risk-taking </w:t>
      </w:r>
      <w:r w:rsidR="00482EB2" w:rsidRPr="0071085D">
        <w:rPr>
          <w:color w:val="000000"/>
          <w:lang w:val="en-CA"/>
        </w:rPr>
        <w:t>behavior</w:t>
      </w:r>
      <w:r w:rsidR="005A35F3" w:rsidRPr="0071085D">
        <w:rPr>
          <w:color w:val="000000"/>
          <w:lang w:val="en-CA"/>
        </w:rPr>
        <w:t xml:space="preserve">. </w:t>
      </w:r>
      <w:r w:rsidR="009C78F6" w:rsidRPr="0071085D">
        <w:rPr>
          <w:color w:val="000000"/>
          <w:lang w:val="en-CA"/>
        </w:rPr>
        <w:t xml:space="preserve">Most of them (85%) </w:t>
      </w:r>
      <w:r w:rsidR="006F34A2" w:rsidRPr="0071085D">
        <w:rPr>
          <w:color w:val="000000"/>
          <w:lang w:val="en-CA"/>
        </w:rPr>
        <w:t xml:space="preserve">had </w:t>
      </w:r>
      <w:r w:rsidR="009C78F6" w:rsidRPr="0071085D">
        <w:rPr>
          <w:color w:val="000000"/>
          <w:lang w:val="en-CA"/>
        </w:rPr>
        <w:t xml:space="preserve">never experienced </w:t>
      </w:r>
      <w:r w:rsidR="00232A7B" w:rsidRPr="0071085D">
        <w:rPr>
          <w:color w:val="000000"/>
          <w:lang w:val="en-CA"/>
        </w:rPr>
        <w:t>intercourse</w:t>
      </w:r>
      <w:r w:rsidR="006F34A2" w:rsidRPr="0071085D">
        <w:rPr>
          <w:color w:val="000000"/>
          <w:lang w:val="en-CA"/>
        </w:rPr>
        <w:t>,</w:t>
      </w:r>
      <w:r w:rsidR="009C78F6" w:rsidRPr="0071085D">
        <w:rPr>
          <w:color w:val="000000"/>
          <w:lang w:val="en-CA"/>
        </w:rPr>
        <w:t xml:space="preserve"> </w:t>
      </w:r>
      <w:r w:rsidR="006F34A2" w:rsidRPr="0071085D">
        <w:rPr>
          <w:color w:val="000000"/>
          <w:lang w:val="en-CA"/>
        </w:rPr>
        <w:t xml:space="preserve">and </w:t>
      </w:r>
      <w:r w:rsidR="009C78F6" w:rsidRPr="0071085D">
        <w:rPr>
          <w:color w:val="000000"/>
          <w:lang w:val="en-CA"/>
        </w:rPr>
        <w:t xml:space="preserve">none had </w:t>
      </w:r>
      <w:r w:rsidR="00232A7B" w:rsidRPr="0071085D">
        <w:rPr>
          <w:color w:val="000000"/>
          <w:lang w:val="en-CA"/>
        </w:rPr>
        <w:t>intercourse</w:t>
      </w:r>
      <w:r w:rsidR="00A06DBE" w:rsidRPr="0071085D">
        <w:rPr>
          <w:color w:val="000000"/>
          <w:lang w:val="en-CA"/>
        </w:rPr>
        <w:t xml:space="preserve"> in the previous year. </w:t>
      </w:r>
      <w:r w:rsidR="009C78F6" w:rsidRPr="0071085D">
        <w:rPr>
          <w:color w:val="000000"/>
          <w:lang w:val="en-CA"/>
        </w:rPr>
        <w:t>N</w:t>
      </w:r>
      <w:r w:rsidR="00A06DBE" w:rsidRPr="0071085D">
        <w:rPr>
          <w:color w:val="000000"/>
          <w:lang w:val="en-CA"/>
        </w:rPr>
        <w:t xml:space="preserve">one </w:t>
      </w:r>
      <w:r w:rsidR="006F34A2" w:rsidRPr="0071085D">
        <w:rPr>
          <w:color w:val="000000"/>
          <w:lang w:val="en-CA"/>
        </w:rPr>
        <w:t xml:space="preserve">had an </w:t>
      </w:r>
      <w:r w:rsidR="005A35F3" w:rsidRPr="0071085D">
        <w:rPr>
          <w:color w:val="000000"/>
          <w:lang w:val="en-CA"/>
        </w:rPr>
        <w:t xml:space="preserve">early </w:t>
      </w:r>
      <w:r w:rsidR="006F34A2" w:rsidRPr="0071085D">
        <w:rPr>
          <w:color w:val="000000"/>
          <w:lang w:val="en-CA"/>
        </w:rPr>
        <w:t>sexual onset,</w:t>
      </w:r>
      <w:r w:rsidR="00A06DBE" w:rsidRPr="0071085D">
        <w:rPr>
          <w:color w:val="000000"/>
          <w:lang w:val="en-CA"/>
        </w:rPr>
        <w:t xml:space="preserve"> </w:t>
      </w:r>
      <w:r w:rsidR="009C78F6" w:rsidRPr="0071085D">
        <w:rPr>
          <w:color w:val="000000"/>
          <w:lang w:val="en-CA"/>
        </w:rPr>
        <w:t>n</w:t>
      </w:r>
      <w:r w:rsidR="00A06DBE" w:rsidRPr="0071085D">
        <w:rPr>
          <w:color w:val="000000"/>
          <w:lang w:val="en-CA"/>
        </w:rPr>
        <w:t>or engaged in</w:t>
      </w:r>
      <w:r w:rsidR="0099252C" w:rsidRPr="0071085D">
        <w:rPr>
          <w:color w:val="000000"/>
          <w:lang w:val="en-CA"/>
        </w:rPr>
        <w:t xml:space="preserve"> </w:t>
      </w:r>
      <w:r w:rsidR="005A3BFC" w:rsidRPr="0071085D">
        <w:rPr>
          <w:lang w:val="en-CA"/>
        </w:rPr>
        <w:t>unconventional sexual behaviors</w:t>
      </w:r>
      <w:r w:rsidR="009C78F6" w:rsidRPr="0071085D">
        <w:rPr>
          <w:color w:val="000000"/>
          <w:lang w:val="en-CA"/>
        </w:rPr>
        <w:t>, and they had the lowest mean of lifetime sexual partners</w:t>
      </w:r>
      <w:r w:rsidR="005A35F3" w:rsidRPr="0071085D">
        <w:rPr>
          <w:color w:val="000000"/>
          <w:lang w:val="en-CA"/>
        </w:rPr>
        <w:t>.</w:t>
      </w:r>
      <w:r w:rsidR="00FA3FB9" w:rsidRPr="0071085D">
        <w:rPr>
          <w:color w:val="000000"/>
          <w:lang w:val="en-CA"/>
        </w:rPr>
        <w:t xml:space="preserve"> </w:t>
      </w:r>
      <w:r w:rsidR="009C78F6" w:rsidRPr="0071085D">
        <w:rPr>
          <w:color w:val="000000"/>
          <w:lang w:val="en-CA"/>
        </w:rPr>
        <w:t xml:space="preserve">As for participants from the </w:t>
      </w:r>
      <w:r w:rsidR="00FA3FB9" w:rsidRPr="0071085D">
        <w:rPr>
          <w:i/>
          <w:color w:val="000000"/>
          <w:lang w:val="en-CA"/>
        </w:rPr>
        <w:t>active low-risk</w:t>
      </w:r>
      <w:r w:rsidR="00FA3FB9" w:rsidRPr="0071085D">
        <w:rPr>
          <w:color w:val="000000"/>
          <w:lang w:val="en-CA"/>
        </w:rPr>
        <w:t xml:space="preserve"> </w:t>
      </w:r>
      <w:r w:rsidR="00EF7942" w:rsidRPr="0071085D">
        <w:rPr>
          <w:color w:val="000000"/>
          <w:lang w:val="en-CA"/>
        </w:rPr>
        <w:t>profile</w:t>
      </w:r>
      <w:r w:rsidR="00724B9C" w:rsidRPr="0071085D">
        <w:rPr>
          <w:color w:val="000000"/>
          <w:lang w:val="en-CA"/>
        </w:rPr>
        <w:t xml:space="preserve"> (34.7%)</w:t>
      </w:r>
      <w:r w:rsidR="009C78F6" w:rsidRPr="0071085D">
        <w:rPr>
          <w:color w:val="000000"/>
          <w:lang w:val="en-CA"/>
        </w:rPr>
        <w:t>,</w:t>
      </w:r>
      <w:r w:rsidR="00FA3FB9" w:rsidRPr="0071085D">
        <w:rPr>
          <w:color w:val="000000"/>
          <w:lang w:val="en-CA"/>
        </w:rPr>
        <w:t xml:space="preserve"> </w:t>
      </w:r>
      <w:r w:rsidR="009C78F6" w:rsidRPr="0071085D">
        <w:rPr>
          <w:color w:val="000000"/>
          <w:lang w:val="en-CA"/>
        </w:rPr>
        <w:t xml:space="preserve">they </w:t>
      </w:r>
      <w:r w:rsidR="00FA3FB9" w:rsidRPr="0071085D">
        <w:rPr>
          <w:color w:val="000000"/>
          <w:lang w:val="en-CA"/>
        </w:rPr>
        <w:t xml:space="preserve">reported </w:t>
      </w:r>
      <w:r w:rsidR="006F34A2" w:rsidRPr="0071085D">
        <w:rPr>
          <w:color w:val="000000"/>
          <w:lang w:val="en-CA"/>
        </w:rPr>
        <w:t xml:space="preserve">fewer </w:t>
      </w:r>
      <w:r w:rsidR="00FC09A0" w:rsidRPr="0071085D">
        <w:rPr>
          <w:color w:val="000000"/>
          <w:lang w:val="en-CA"/>
        </w:rPr>
        <w:t>binge drinking</w:t>
      </w:r>
      <w:r w:rsidR="00FA3FB9" w:rsidRPr="0071085D">
        <w:rPr>
          <w:color w:val="000000"/>
          <w:lang w:val="en-CA"/>
        </w:rPr>
        <w:t xml:space="preserve"> episodes and lower polysubstance use than the </w:t>
      </w:r>
      <w:r w:rsidR="00FA3FB9" w:rsidRPr="0071085D">
        <w:rPr>
          <w:i/>
          <w:color w:val="000000"/>
          <w:lang w:val="en-CA"/>
        </w:rPr>
        <w:t>mid-</w:t>
      </w:r>
      <w:r w:rsidR="00FA3FB9" w:rsidRPr="0071085D">
        <w:rPr>
          <w:color w:val="000000"/>
          <w:lang w:val="en-CA"/>
        </w:rPr>
        <w:t xml:space="preserve"> and </w:t>
      </w:r>
      <w:r w:rsidR="00FA3FB9" w:rsidRPr="0071085D">
        <w:rPr>
          <w:i/>
          <w:color w:val="000000"/>
          <w:lang w:val="en-CA"/>
        </w:rPr>
        <w:t>high-risk</w:t>
      </w:r>
      <w:r w:rsidR="00FA3FB9" w:rsidRPr="0071085D">
        <w:rPr>
          <w:color w:val="000000"/>
          <w:lang w:val="en-CA"/>
        </w:rPr>
        <w:t xml:space="preserve"> takers.</w:t>
      </w:r>
      <w:r w:rsidR="008F5C20" w:rsidRPr="0071085D">
        <w:rPr>
          <w:color w:val="000000"/>
          <w:lang w:val="en-CA"/>
        </w:rPr>
        <w:t xml:space="preserve"> </w:t>
      </w:r>
      <w:r w:rsidR="00724B9C" w:rsidRPr="0071085D">
        <w:rPr>
          <w:color w:val="000000"/>
          <w:lang w:val="en-CA"/>
        </w:rPr>
        <w:t>Moreover, among the three sexually active profiles,</w:t>
      </w:r>
      <w:r w:rsidR="00724B9C" w:rsidRPr="0071085D" w:rsidDel="00724B9C">
        <w:rPr>
          <w:color w:val="000000"/>
          <w:lang w:val="en-CA"/>
        </w:rPr>
        <w:t xml:space="preserve"> </w:t>
      </w:r>
      <w:r w:rsidR="00F34DDB" w:rsidRPr="0071085D">
        <w:rPr>
          <w:i/>
          <w:color w:val="000000"/>
          <w:lang w:val="en-CA"/>
        </w:rPr>
        <w:t xml:space="preserve">active low-risk </w:t>
      </w:r>
      <w:r w:rsidR="00724B9C" w:rsidRPr="0071085D">
        <w:rPr>
          <w:color w:val="000000"/>
          <w:lang w:val="en-CA"/>
        </w:rPr>
        <w:t>participants</w:t>
      </w:r>
      <w:r w:rsidR="00291B62" w:rsidRPr="0071085D">
        <w:rPr>
          <w:color w:val="000000"/>
          <w:lang w:val="en-CA"/>
        </w:rPr>
        <w:t xml:space="preserve"> </w:t>
      </w:r>
      <w:r w:rsidR="00306453" w:rsidRPr="0071085D">
        <w:rPr>
          <w:color w:val="000000"/>
          <w:lang w:val="en-CA"/>
        </w:rPr>
        <w:t>reported</w:t>
      </w:r>
      <w:r w:rsidR="00724B9C" w:rsidRPr="0071085D">
        <w:rPr>
          <w:color w:val="000000"/>
          <w:lang w:val="en-CA"/>
        </w:rPr>
        <w:t xml:space="preserve"> the </w:t>
      </w:r>
      <w:r w:rsidR="00CE4049" w:rsidRPr="0071085D">
        <w:rPr>
          <w:color w:val="000000"/>
          <w:lang w:val="en-CA"/>
        </w:rPr>
        <w:t>lowest number of</w:t>
      </w:r>
      <w:r w:rsidR="00724B9C" w:rsidRPr="0071085D">
        <w:rPr>
          <w:color w:val="000000"/>
          <w:lang w:val="en-CA"/>
        </w:rPr>
        <w:t xml:space="preserve"> lifetime sexual partners and </w:t>
      </w:r>
      <w:r w:rsidR="005A3BFC" w:rsidRPr="0071085D">
        <w:rPr>
          <w:lang w:val="en-CA"/>
        </w:rPr>
        <w:t>unconventional sexual behaviors</w:t>
      </w:r>
      <w:r w:rsidR="00724B9C" w:rsidRPr="0071085D">
        <w:rPr>
          <w:color w:val="000000"/>
          <w:lang w:val="en-CA"/>
        </w:rPr>
        <w:t xml:space="preserve">, were the most likely to </w:t>
      </w:r>
      <w:r w:rsidR="00306453" w:rsidRPr="0071085D">
        <w:rPr>
          <w:color w:val="000000"/>
          <w:lang w:val="en-CA"/>
        </w:rPr>
        <w:t xml:space="preserve">consistently </w:t>
      </w:r>
      <w:r w:rsidR="00724B9C" w:rsidRPr="0071085D">
        <w:rPr>
          <w:color w:val="000000"/>
          <w:lang w:val="en-CA"/>
        </w:rPr>
        <w:t xml:space="preserve">use condoms, and </w:t>
      </w:r>
      <w:r w:rsidR="00601620" w:rsidRPr="0071085D">
        <w:rPr>
          <w:color w:val="000000"/>
          <w:lang w:val="en-CA"/>
        </w:rPr>
        <w:t>t</w:t>
      </w:r>
      <w:r w:rsidR="00724B9C" w:rsidRPr="0071085D">
        <w:rPr>
          <w:color w:val="000000"/>
          <w:lang w:val="en-CA"/>
        </w:rPr>
        <w:t xml:space="preserve">he least likely to have </w:t>
      </w:r>
      <w:r w:rsidR="00306453" w:rsidRPr="0071085D">
        <w:rPr>
          <w:color w:val="000000"/>
          <w:lang w:val="en-CA"/>
        </w:rPr>
        <w:t xml:space="preserve">had </w:t>
      </w:r>
      <w:r w:rsidR="00724B9C" w:rsidRPr="0071085D">
        <w:rPr>
          <w:color w:val="000000"/>
          <w:lang w:val="en-CA"/>
        </w:rPr>
        <w:t>an</w:t>
      </w:r>
      <w:r w:rsidR="00D10C9A" w:rsidRPr="0071085D">
        <w:rPr>
          <w:color w:val="000000"/>
          <w:lang w:val="en-CA"/>
        </w:rPr>
        <w:t xml:space="preserve"> early sexual onset</w:t>
      </w:r>
      <w:r w:rsidR="00494A63" w:rsidRPr="0071085D">
        <w:rPr>
          <w:color w:val="000000"/>
          <w:lang w:val="en-CA"/>
        </w:rPr>
        <w:t xml:space="preserve">. </w:t>
      </w:r>
      <w:r w:rsidR="008859E2" w:rsidRPr="0071085D">
        <w:rPr>
          <w:color w:val="000000"/>
          <w:lang w:val="en-CA"/>
        </w:rPr>
        <w:t>Participants classified in t</w:t>
      </w:r>
      <w:r w:rsidR="00CB656F" w:rsidRPr="0071085D">
        <w:rPr>
          <w:color w:val="000000"/>
          <w:lang w:val="en-CA"/>
        </w:rPr>
        <w:t>he</w:t>
      </w:r>
      <w:r w:rsidR="00C57A78" w:rsidRPr="0071085D">
        <w:rPr>
          <w:color w:val="000000"/>
          <w:lang w:val="en-CA"/>
        </w:rPr>
        <w:t xml:space="preserve"> </w:t>
      </w:r>
      <w:r w:rsidR="00C57A78" w:rsidRPr="0071085D">
        <w:rPr>
          <w:i/>
          <w:color w:val="000000"/>
          <w:lang w:val="en-CA"/>
        </w:rPr>
        <w:t>mid-risk</w:t>
      </w:r>
      <w:r w:rsidR="00EE6243" w:rsidRPr="0071085D">
        <w:rPr>
          <w:i/>
          <w:color w:val="000000"/>
          <w:lang w:val="en-CA"/>
        </w:rPr>
        <w:t xml:space="preserve"> </w:t>
      </w:r>
      <w:r w:rsidR="00EE6243" w:rsidRPr="0071085D">
        <w:rPr>
          <w:color w:val="000000"/>
          <w:lang w:val="en-CA"/>
        </w:rPr>
        <w:t>profile</w:t>
      </w:r>
      <w:r w:rsidR="00CB656F" w:rsidRPr="0071085D">
        <w:rPr>
          <w:color w:val="000000"/>
          <w:lang w:val="en-CA"/>
        </w:rPr>
        <w:t>, the largest subgroup</w:t>
      </w:r>
      <w:r w:rsidR="00CB656F" w:rsidRPr="0071085D">
        <w:rPr>
          <w:i/>
          <w:color w:val="000000"/>
          <w:lang w:val="en-CA"/>
        </w:rPr>
        <w:t xml:space="preserve"> </w:t>
      </w:r>
      <w:r w:rsidR="00CB656F" w:rsidRPr="0071085D">
        <w:rPr>
          <w:color w:val="000000"/>
          <w:lang w:val="en-CA"/>
        </w:rPr>
        <w:t>(42</w:t>
      </w:r>
      <w:r w:rsidR="001D49ED" w:rsidRPr="0071085D">
        <w:rPr>
          <w:color w:val="000000"/>
          <w:lang w:val="en-CA"/>
        </w:rPr>
        <w:t>.4</w:t>
      </w:r>
      <w:r w:rsidR="00EE6243" w:rsidRPr="0071085D">
        <w:rPr>
          <w:color w:val="000000"/>
          <w:lang w:val="en-CA"/>
        </w:rPr>
        <w:t xml:space="preserve">%), </w:t>
      </w:r>
      <w:r w:rsidR="008859E2" w:rsidRPr="0071085D">
        <w:rPr>
          <w:color w:val="000000"/>
          <w:lang w:val="en-CA"/>
        </w:rPr>
        <w:t xml:space="preserve">presented </w:t>
      </w:r>
      <w:r w:rsidR="00C57A78" w:rsidRPr="0071085D">
        <w:rPr>
          <w:color w:val="000000"/>
          <w:lang w:val="en-CA"/>
        </w:rPr>
        <w:t>moderate</w:t>
      </w:r>
      <w:r w:rsidR="004E3FE3" w:rsidRPr="0071085D">
        <w:rPr>
          <w:color w:val="000000"/>
          <w:lang w:val="en-CA"/>
        </w:rPr>
        <w:t xml:space="preserve"> to </w:t>
      </w:r>
      <w:proofErr w:type="gramStart"/>
      <w:r w:rsidR="004E3FE3" w:rsidRPr="0071085D">
        <w:rPr>
          <w:color w:val="000000"/>
          <w:lang w:val="en-CA"/>
        </w:rPr>
        <w:t>high</w:t>
      </w:r>
      <w:r w:rsidR="00C57A78" w:rsidRPr="0071085D">
        <w:rPr>
          <w:color w:val="000000"/>
          <w:lang w:val="en-CA"/>
        </w:rPr>
        <w:t xml:space="preserve"> risk</w:t>
      </w:r>
      <w:proofErr w:type="gramEnd"/>
      <w:r w:rsidR="00C57A78" w:rsidRPr="0071085D">
        <w:rPr>
          <w:color w:val="000000"/>
          <w:lang w:val="en-CA"/>
        </w:rPr>
        <w:t xml:space="preserve"> behaviors. </w:t>
      </w:r>
      <w:r w:rsidR="008859E2" w:rsidRPr="0071085D">
        <w:rPr>
          <w:color w:val="000000"/>
          <w:lang w:val="en-CA"/>
        </w:rPr>
        <w:t>They had earlier sexual onset, used condom</w:t>
      </w:r>
      <w:r w:rsidR="009A17FB" w:rsidRPr="0071085D">
        <w:rPr>
          <w:color w:val="000000"/>
          <w:lang w:val="en-CA"/>
        </w:rPr>
        <w:t>s</w:t>
      </w:r>
      <w:r w:rsidR="008859E2" w:rsidRPr="0071085D">
        <w:rPr>
          <w:color w:val="000000"/>
          <w:lang w:val="en-CA"/>
        </w:rPr>
        <w:t xml:space="preserve"> inconsistently</w:t>
      </w:r>
      <w:r w:rsidR="00CE4049" w:rsidRPr="0071085D">
        <w:rPr>
          <w:color w:val="000000"/>
          <w:lang w:val="en-CA"/>
        </w:rPr>
        <w:t>,</w:t>
      </w:r>
      <w:r w:rsidR="008859E2" w:rsidRPr="0071085D">
        <w:rPr>
          <w:color w:val="000000"/>
          <w:lang w:val="en-CA"/>
        </w:rPr>
        <w:t xml:space="preserve"> and reported </w:t>
      </w:r>
      <w:r w:rsidR="008859E2" w:rsidRPr="0071085D">
        <w:rPr>
          <w:color w:val="000000"/>
          <w:lang w:val="en-CA"/>
        </w:rPr>
        <w:lastRenderedPageBreak/>
        <w:t>engag</w:t>
      </w:r>
      <w:r w:rsidR="00CE4049" w:rsidRPr="0071085D">
        <w:rPr>
          <w:color w:val="000000"/>
          <w:lang w:val="en-CA"/>
        </w:rPr>
        <w:t>ing</w:t>
      </w:r>
      <w:r w:rsidR="008859E2" w:rsidRPr="0071085D">
        <w:rPr>
          <w:color w:val="000000"/>
          <w:lang w:val="en-CA"/>
        </w:rPr>
        <w:t xml:space="preserve"> in some </w:t>
      </w:r>
      <w:r w:rsidR="005A3BFC" w:rsidRPr="0071085D">
        <w:rPr>
          <w:lang w:val="en-CA"/>
        </w:rPr>
        <w:t>unconventional sexual behaviors</w:t>
      </w:r>
      <w:r w:rsidR="008859E2" w:rsidRPr="0071085D">
        <w:rPr>
          <w:color w:val="000000"/>
          <w:lang w:val="en-CA"/>
        </w:rPr>
        <w:t xml:space="preserve">, </w:t>
      </w:r>
      <w:r w:rsidR="00FC09A0" w:rsidRPr="0071085D">
        <w:rPr>
          <w:color w:val="000000"/>
          <w:lang w:val="en-CA"/>
        </w:rPr>
        <w:t>binge drinking</w:t>
      </w:r>
      <w:r w:rsidR="00CE4049" w:rsidRPr="0071085D">
        <w:rPr>
          <w:color w:val="000000"/>
          <w:lang w:val="en-CA"/>
        </w:rPr>
        <w:t>,</w:t>
      </w:r>
      <w:r w:rsidR="008859E2" w:rsidRPr="0071085D">
        <w:rPr>
          <w:color w:val="000000"/>
          <w:lang w:val="en-CA"/>
        </w:rPr>
        <w:t xml:space="preserve"> and polysubstance use. </w:t>
      </w:r>
      <w:r w:rsidR="00EE6243" w:rsidRPr="0071085D">
        <w:rPr>
          <w:color w:val="000000"/>
          <w:lang w:val="en-CA"/>
        </w:rPr>
        <w:t>O</w:t>
      </w:r>
      <w:r w:rsidR="00F1773C" w:rsidRPr="0071085D">
        <w:rPr>
          <w:color w:val="000000"/>
          <w:lang w:val="en-CA"/>
        </w:rPr>
        <w:t>n average, t</w:t>
      </w:r>
      <w:r w:rsidR="00C57A78" w:rsidRPr="0071085D">
        <w:rPr>
          <w:color w:val="000000"/>
          <w:lang w:val="en-CA"/>
        </w:rPr>
        <w:t xml:space="preserve">hey reported </w:t>
      </w:r>
      <w:r w:rsidR="00CB656F" w:rsidRPr="0071085D">
        <w:rPr>
          <w:color w:val="000000"/>
          <w:lang w:val="en-CA"/>
        </w:rPr>
        <w:t xml:space="preserve">almost </w:t>
      </w:r>
      <w:r w:rsidR="008859E2" w:rsidRPr="0071085D">
        <w:rPr>
          <w:color w:val="000000"/>
          <w:lang w:val="en-CA"/>
        </w:rPr>
        <w:t>four</w:t>
      </w:r>
      <w:r w:rsidR="00C57A78" w:rsidRPr="0071085D">
        <w:rPr>
          <w:color w:val="000000"/>
          <w:lang w:val="en-CA"/>
        </w:rPr>
        <w:t xml:space="preserve"> times </w:t>
      </w:r>
      <w:r w:rsidR="00CE4049" w:rsidRPr="0071085D">
        <w:rPr>
          <w:color w:val="000000"/>
          <w:lang w:val="en-CA"/>
        </w:rPr>
        <w:t xml:space="preserve">as many </w:t>
      </w:r>
      <w:proofErr w:type="gramStart"/>
      <w:r w:rsidR="00CB656F" w:rsidRPr="0071085D">
        <w:rPr>
          <w:color w:val="000000"/>
          <w:lang w:val="en-CA"/>
        </w:rPr>
        <w:t>lifetime</w:t>
      </w:r>
      <w:proofErr w:type="gramEnd"/>
      <w:r w:rsidR="00CB656F" w:rsidRPr="0071085D">
        <w:rPr>
          <w:color w:val="000000"/>
          <w:lang w:val="en-CA"/>
        </w:rPr>
        <w:t xml:space="preserve"> sexual partners </w:t>
      </w:r>
      <w:r w:rsidR="00A17E9A" w:rsidRPr="0071085D">
        <w:rPr>
          <w:color w:val="000000"/>
          <w:lang w:val="en-CA"/>
        </w:rPr>
        <w:t xml:space="preserve">(M = 10) </w:t>
      </w:r>
      <w:r w:rsidR="00C57A78" w:rsidRPr="0071085D">
        <w:rPr>
          <w:color w:val="000000"/>
          <w:lang w:val="en-CA"/>
        </w:rPr>
        <w:t xml:space="preserve">than </w:t>
      </w:r>
      <w:r w:rsidR="008859E2" w:rsidRPr="0071085D">
        <w:rPr>
          <w:color w:val="000000"/>
          <w:lang w:val="en-CA"/>
        </w:rPr>
        <w:t xml:space="preserve">participants in </w:t>
      </w:r>
      <w:r w:rsidR="00C57A78" w:rsidRPr="0071085D">
        <w:rPr>
          <w:color w:val="000000"/>
          <w:lang w:val="en-CA"/>
        </w:rPr>
        <w:t xml:space="preserve">the </w:t>
      </w:r>
      <w:r w:rsidR="00C57A78" w:rsidRPr="0071085D">
        <w:rPr>
          <w:i/>
          <w:color w:val="000000"/>
          <w:lang w:val="en-CA"/>
        </w:rPr>
        <w:t>active low-risk</w:t>
      </w:r>
      <w:r w:rsidR="00CB656F" w:rsidRPr="0071085D">
        <w:rPr>
          <w:color w:val="000000"/>
          <w:lang w:val="en-CA"/>
        </w:rPr>
        <w:t xml:space="preserve"> group</w:t>
      </w:r>
      <w:r w:rsidR="00C57A78" w:rsidRPr="0071085D">
        <w:rPr>
          <w:color w:val="000000"/>
          <w:lang w:val="en-CA"/>
        </w:rPr>
        <w:t xml:space="preserve">. </w:t>
      </w:r>
      <w:r w:rsidR="008859E2" w:rsidRPr="0071085D">
        <w:rPr>
          <w:color w:val="000000"/>
          <w:lang w:val="en-CA"/>
        </w:rPr>
        <w:t>Nearly 10% of the sample were classified in t</w:t>
      </w:r>
      <w:r w:rsidR="001959E5" w:rsidRPr="0071085D">
        <w:rPr>
          <w:color w:val="000000"/>
          <w:lang w:val="en-CA"/>
        </w:rPr>
        <w:t xml:space="preserve">he </w:t>
      </w:r>
      <w:r w:rsidR="001959E5" w:rsidRPr="0071085D">
        <w:rPr>
          <w:i/>
          <w:color w:val="000000"/>
          <w:lang w:val="en-CA"/>
        </w:rPr>
        <w:t>high-risk</w:t>
      </w:r>
      <w:r w:rsidR="00C16C48" w:rsidRPr="0071085D">
        <w:rPr>
          <w:color w:val="000000"/>
          <w:lang w:val="en-CA"/>
        </w:rPr>
        <w:t xml:space="preserve"> profile. </w:t>
      </w:r>
      <w:r w:rsidR="008859E2" w:rsidRPr="0071085D">
        <w:rPr>
          <w:color w:val="000000"/>
          <w:lang w:val="en-CA"/>
        </w:rPr>
        <w:t xml:space="preserve">These individuals </w:t>
      </w:r>
      <w:r w:rsidR="00C16C48" w:rsidRPr="0071085D">
        <w:rPr>
          <w:color w:val="000000"/>
          <w:lang w:val="en-CA"/>
        </w:rPr>
        <w:t>ha</w:t>
      </w:r>
      <w:r w:rsidR="008859E2" w:rsidRPr="0071085D">
        <w:rPr>
          <w:color w:val="000000"/>
          <w:lang w:val="en-CA"/>
        </w:rPr>
        <w:t>d</w:t>
      </w:r>
      <w:r w:rsidR="00C16C48" w:rsidRPr="0071085D">
        <w:rPr>
          <w:color w:val="000000"/>
          <w:lang w:val="en-CA"/>
        </w:rPr>
        <w:t xml:space="preserve"> </w:t>
      </w:r>
      <w:r w:rsidR="00E229EC" w:rsidRPr="0071085D">
        <w:rPr>
          <w:color w:val="000000"/>
          <w:lang w:val="en-CA"/>
        </w:rPr>
        <w:t xml:space="preserve">the highest propensity of engaging in </w:t>
      </w:r>
      <w:r w:rsidR="008859E2" w:rsidRPr="0071085D">
        <w:rPr>
          <w:color w:val="000000"/>
          <w:lang w:val="en-CA"/>
        </w:rPr>
        <w:t xml:space="preserve">all six </w:t>
      </w:r>
      <w:r w:rsidR="00D8665A" w:rsidRPr="0071085D">
        <w:rPr>
          <w:color w:val="000000"/>
          <w:lang w:val="en-CA"/>
        </w:rPr>
        <w:t xml:space="preserve">risk-taking </w:t>
      </w:r>
      <w:r w:rsidR="00E229EC" w:rsidRPr="0071085D">
        <w:rPr>
          <w:color w:val="000000"/>
          <w:lang w:val="en-CA"/>
        </w:rPr>
        <w:t>behaviors</w:t>
      </w:r>
      <w:r w:rsidR="00DF3A6C" w:rsidRPr="0071085D">
        <w:rPr>
          <w:color w:val="000000"/>
          <w:lang w:val="en-CA"/>
        </w:rPr>
        <w:t xml:space="preserve">: they had </w:t>
      </w:r>
      <w:r w:rsidR="00405BC7" w:rsidRPr="0071085D">
        <w:rPr>
          <w:color w:val="000000"/>
          <w:lang w:val="en-CA"/>
        </w:rPr>
        <w:t xml:space="preserve">an </w:t>
      </w:r>
      <w:r w:rsidR="00DF3A6C" w:rsidRPr="0071085D">
        <w:rPr>
          <w:color w:val="000000"/>
          <w:lang w:val="en-CA"/>
        </w:rPr>
        <w:t xml:space="preserve">early sexual onset </w:t>
      </w:r>
      <w:r w:rsidR="00C16C48" w:rsidRPr="0071085D">
        <w:rPr>
          <w:color w:val="000000"/>
          <w:lang w:val="en-CA"/>
        </w:rPr>
        <w:t>(66%)</w:t>
      </w:r>
      <w:r w:rsidR="00DF3A6C" w:rsidRPr="0071085D">
        <w:rPr>
          <w:color w:val="000000"/>
          <w:lang w:val="en-CA"/>
        </w:rPr>
        <w:t>, used</w:t>
      </w:r>
      <w:r w:rsidR="00C16C48" w:rsidRPr="0071085D">
        <w:rPr>
          <w:color w:val="000000"/>
          <w:lang w:val="en-CA"/>
        </w:rPr>
        <w:t xml:space="preserve"> condom</w:t>
      </w:r>
      <w:r w:rsidR="00DF3A6C" w:rsidRPr="0071085D">
        <w:rPr>
          <w:color w:val="000000"/>
          <w:lang w:val="en-CA"/>
        </w:rPr>
        <w:t>s</w:t>
      </w:r>
      <w:r w:rsidR="00C16C48" w:rsidRPr="0071085D">
        <w:rPr>
          <w:color w:val="000000"/>
          <w:lang w:val="en-CA"/>
        </w:rPr>
        <w:t xml:space="preserve"> </w:t>
      </w:r>
      <w:r w:rsidR="00DF3A6C" w:rsidRPr="0071085D">
        <w:rPr>
          <w:color w:val="000000"/>
          <w:lang w:val="en-CA"/>
        </w:rPr>
        <w:t>in</w:t>
      </w:r>
      <w:r w:rsidR="00C16C48" w:rsidRPr="0071085D">
        <w:rPr>
          <w:color w:val="000000"/>
          <w:lang w:val="en-CA"/>
        </w:rPr>
        <w:t xml:space="preserve">consistently with both </w:t>
      </w:r>
      <w:r w:rsidR="009A17FB" w:rsidRPr="0071085D">
        <w:rPr>
          <w:color w:val="000000"/>
          <w:lang w:val="en-CA"/>
        </w:rPr>
        <w:t xml:space="preserve">committed </w:t>
      </w:r>
      <w:r w:rsidR="00C16C48" w:rsidRPr="0071085D">
        <w:rPr>
          <w:color w:val="000000"/>
          <w:lang w:val="en-CA"/>
        </w:rPr>
        <w:t>and casual partners (59%)</w:t>
      </w:r>
      <w:r w:rsidR="00DF3A6C" w:rsidRPr="0071085D">
        <w:rPr>
          <w:color w:val="000000"/>
          <w:lang w:val="en-CA"/>
        </w:rPr>
        <w:t xml:space="preserve">, </w:t>
      </w:r>
      <w:r w:rsidR="00051635" w:rsidRPr="0071085D">
        <w:rPr>
          <w:color w:val="000000"/>
          <w:lang w:val="en-CA"/>
        </w:rPr>
        <w:t xml:space="preserve">had 43 </w:t>
      </w:r>
      <w:r w:rsidR="00405BC7" w:rsidRPr="0071085D">
        <w:rPr>
          <w:color w:val="000000"/>
          <w:lang w:val="en-CA"/>
        </w:rPr>
        <w:t xml:space="preserve">lifetime </w:t>
      </w:r>
      <w:r w:rsidR="00051635" w:rsidRPr="0071085D">
        <w:rPr>
          <w:color w:val="000000"/>
          <w:lang w:val="en-CA"/>
        </w:rPr>
        <w:t xml:space="preserve">sexual partners on average, and had </w:t>
      </w:r>
      <w:r w:rsidR="00405BC7" w:rsidRPr="0071085D">
        <w:rPr>
          <w:color w:val="000000"/>
          <w:lang w:val="en-CA"/>
        </w:rPr>
        <w:t>engaged in</w:t>
      </w:r>
      <w:r w:rsidR="00051635" w:rsidRPr="0071085D">
        <w:rPr>
          <w:color w:val="000000"/>
          <w:lang w:val="en-CA"/>
        </w:rPr>
        <w:t xml:space="preserve"> </w:t>
      </w:r>
      <w:r w:rsidR="005A3BFC" w:rsidRPr="0071085D">
        <w:rPr>
          <w:lang w:val="en-CA"/>
        </w:rPr>
        <w:t>unconventional sexual behaviors</w:t>
      </w:r>
      <w:r w:rsidR="00051635" w:rsidRPr="0071085D">
        <w:rPr>
          <w:color w:val="000000"/>
          <w:lang w:val="en-CA"/>
        </w:rPr>
        <w:t xml:space="preserve">, </w:t>
      </w:r>
      <w:r w:rsidR="00FC09A0" w:rsidRPr="0071085D">
        <w:rPr>
          <w:color w:val="000000"/>
          <w:lang w:val="en-CA"/>
        </w:rPr>
        <w:t>binge drinking</w:t>
      </w:r>
      <w:r w:rsidR="00405BC7" w:rsidRPr="0071085D">
        <w:rPr>
          <w:color w:val="000000"/>
          <w:lang w:val="en-CA"/>
        </w:rPr>
        <w:t>,</w:t>
      </w:r>
      <w:r w:rsidR="00051635" w:rsidRPr="0071085D">
        <w:rPr>
          <w:color w:val="000000"/>
          <w:lang w:val="en-CA"/>
        </w:rPr>
        <w:t xml:space="preserve"> and polysubstance use</w:t>
      </w:r>
      <w:r w:rsidR="00CF10E2" w:rsidRPr="0071085D">
        <w:rPr>
          <w:color w:val="000000"/>
          <w:lang w:val="en-CA"/>
        </w:rPr>
        <w:t>, the most</w:t>
      </w:r>
      <w:r w:rsidR="00051635" w:rsidRPr="0071085D">
        <w:rPr>
          <w:color w:val="000000"/>
          <w:lang w:val="en-CA"/>
        </w:rPr>
        <w:t>.</w:t>
      </w:r>
    </w:p>
    <w:p w14:paraId="59E7F3EF" w14:textId="1213C7C5" w:rsidR="00AC6E19" w:rsidRPr="0071085D" w:rsidRDefault="00AC6E19" w:rsidP="004235CF">
      <w:pPr>
        <w:widowControl w:val="0"/>
        <w:autoSpaceDE w:val="0"/>
        <w:autoSpaceDN w:val="0"/>
        <w:adjustRightInd w:val="0"/>
        <w:spacing w:after="0" w:line="480" w:lineRule="auto"/>
        <w:rPr>
          <w:b/>
          <w:color w:val="000000"/>
          <w:lang w:val="en-CA"/>
        </w:rPr>
      </w:pPr>
      <w:r w:rsidRPr="0071085D">
        <w:rPr>
          <w:b/>
          <w:color w:val="000000"/>
          <w:lang w:val="en-CA"/>
        </w:rPr>
        <w:t>Class</w:t>
      </w:r>
      <w:r w:rsidR="00CF10E2" w:rsidRPr="0071085D">
        <w:rPr>
          <w:b/>
          <w:color w:val="000000"/>
          <w:lang w:val="en-CA"/>
        </w:rPr>
        <w:t xml:space="preserve"> </w:t>
      </w:r>
      <w:r w:rsidR="00BE643D" w:rsidRPr="0071085D">
        <w:rPr>
          <w:b/>
          <w:color w:val="000000"/>
          <w:lang w:val="en-CA"/>
        </w:rPr>
        <w:t xml:space="preserve">Correlates </w:t>
      </w:r>
    </w:p>
    <w:p w14:paraId="6B6CB8C8" w14:textId="2FA455C6" w:rsidR="0015416A" w:rsidRPr="0071085D" w:rsidRDefault="00051635" w:rsidP="00601620">
      <w:pPr>
        <w:widowControl w:val="0"/>
        <w:spacing w:after="0" w:line="480" w:lineRule="auto"/>
        <w:ind w:firstLine="709"/>
        <w:rPr>
          <w:color w:val="000000"/>
          <w:lang w:val="en-CA"/>
        </w:rPr>
      </w:pPr>
      <w:r w:rsidRPr="0071085D">
        <w:rPr>
          <w:lang w:val="en-CA"/>
        </w:rPr>
        <w:t xml:space="preserve">To assess whether sociodemographic and individual </w:t>
      </w:r>
      <w:r w:rsidR="009A17FB" w:rsidRPr="0071085D">
        <w:rPr>
          <w:lang w:val="en-CA"/>
        </w:rPr>
        <w:t xml:space="preserve">characteristics </w:t>
      </w:r>
      <w:r w:rsidRPr="0071085D">
        <w:rPr>
          <w:lang w:val="en-CA"/>
        </w:rPr>
        <w:t xml:space="preserve">were predictive of class membership, regression analyses were conducted in two steps. </w:t>
      </w:r>
      <w:r w:rsidR="00581A0C" w:rsidRPr="0071085D">
        <w:rPr>
          <w:color w:val="000000"/>
          <w:lang w:val="en-CA"/>
        </w:rPr>
        <w:t>Firstly</w:t>
      </w:r>
      <w:r w:rsidR="00AC6E19" w:rsidRPr="0071085D">
        <w:rPr>
          <w:color w:val="000000"/>
          <w:lang w:val="en-CA"/>
        </w:rPr>
        <w:t xml:space="preserve">, </w:t>
      </w:r>
      <w:r w:rsidRPr="0071085D">
        <w:rPr>
          <w:color w:val="000000"/>
          <w:lang w:val="en-CA"/>
        </w:rPr>
        <w:t xml:space="preserve">a </w:t>
      </w:r>
      <w:r w:rsidR="00AC6E19" w:rsidRPr="0071085D">
        <w:rPr>
          <w:color w:val="000000"/>
          <w:lang w:val="en-CA"/>
        </w:rPr>
        <w:t xml:space="preserve">univariate regression was conducted separately for each predictor. Analyses revealed significant differences </w:t>
      </w:r>
      <w:r w:rsidR="007E688E" w:rsidRPr="0071085D">
        <w:rPr>
          <w:color w:val="000000"/>
          <w:lang w:val="en-CA"/>
        </w:rPr>
        <w:t xml:space="preserve">between </w:t>
      </w:r>
      <w:r w:rsidR="00EF7942" w:rsidRPr="0071085D">
        <w:rPr>
          <w:color w:val="000000"/>
          <w:lang w:val="en-CA"/>
        </w:rPr>
        <w:t>profile</w:t>
      </w:r>
      <w:r w:rsidR="00AC6E19" w:rsidRPr="0071085D">
        <w:rPr>
          <w:color w:val="000000"/>
          <w:lang w:val="en-CA"/>
        </w:rPr>
        <w:t>s on f</w:t>
      </w:r>
      <w:r w:rsidRPr="0071085D">
        <w:rPr>
          <w:color w:val="000000"/>
          <w:lang w:val="en-CA"/>
        </w:rPr>
        <w:t>our</w:t>
      </w:r>
      <w:r w:rsidR="00AC6E19" w:rsidRPr="0071085D">
        <w:rPr>
          <w:color w:val="000000"/>
          <w:lang w:val="en-CA"/>
        </w:rPr>
        <w:t xml:space="preserve"> out of </w:t>
      </w:r>
      <w:r w:rsidRPr="0071085D">
        <w:rPr>
          <w:color w:val="000000"/>
          <w:lang w:val="en-CA"/>
        </w:rPr>
        <w:t>seven</w:t>
      </w:r>
      <w:r w:rsidR="00AC6E19" w:rsidRPr="0071085D">
        <w:rPr>
          <w:color w:val="000000"/>
          <w:lang w:val="en-CA"/>
        </w:rPr>
        <w:t xml:space="preserve"> sociodemographic </w:t>
      </w:r>
      <w:r w:rsidR="00BE643D" w:rsidRPr="0071085D">
        <w:rPr>
          <w:color w:val="000000"/>
          <w:lang w:val="en-CA"/>
        </w:rPr>
        <w:t xml:space="preserve">correlates </w:t>
      </w:r>
      <w:r w:rsidR="00AC6E19" w:rsidRPr="0071085D">
        <w:rPr>
          <w:color w:val="000000"/>
          <w:lang w:val="en-CA"/>
        </w:rPr>
        <w:t xml:space="preserve">(age, sex, education, </w:t>
      </w:r>
      <w:r w:rsidR="007E688E" w:rsidRPr="0071085D">
        <w:rPr>
          <w:color w:val="000000"/>
          <w:lang w:val="en-CA"/>
        </w:rPr>
        <w:t>and</w:t>
      </w:r>
      <w:r w:rsidR="00AC6E19" w:rsidRPr="0071085D">
        <w:rPr>
          <w:color w:val="000000"/>
          <w:lang w:val="en-CA"/>
        </w:rPr>
        <w:t xml:space="preserve"> relationship status), and on three out of four individual </w:t>
      </w:r>
      <w:r w:rsidR="00BE643D" w:rsidRPr="0071085D">
        <w:rPr>
          <w:color w:val="000000"/>
          <w:lang w:val="en-CA"/>
        </w:rPr>
        <w:t xml:space="preserve">correlates </w:t>
      </w:r>
      <w:r w:rsidR="00AC6E19" w:rsidRPr="0071085D">
        <w:rPr>
          <w:color w:val="000000"/>
          <w:lang w:val="en-CA"/>
        </w:rPr>
        <w:t>(impulsive sensation</w:t>
      </w:r>
      <w:r w:rsidR="00D12F81" w:rsidRPr="0071085D">
        <w:rPr>
          <w:color w:val="000000"/>
          <w:lang w:val="en-CA"/>
        </w:rPr>
        <w:t>-</w:t>
      </w:r>
      <w:r w:rsidR="00AC6E19" w:rsidRPr="0071085D">
        <w:rPr>
          <w:color w:val="000000"/>
          <w:lang w:val="en-CA"/>
        </w:rPr>
        <w:t>seeking, life sat</w:t>
      </w:r>
      <w:r w:rsidR="00EF7942" w:rsidRPr="0071085D">
        <w:rPr>
          <w:color w:val="000000"/>
          <w:lang w:val="en-CA"/>
        </w:rPr>
        <w:t xml:space="preserve">isfaction, </w:t>
      </w:r>
      <w:r w:rsidR="007E688E" w:rsidRPr="0071085D">
        <w:rPr>
          <w:color w:val="000000"/>
          <w:lang w:val="en-CA"/>
        </w:rPr>
        <w:t xml:space="preserve">and </w:t>
      </w:r>
      <w:r w:rsidR="00EF7942" w:rsidRPr="0071085D">
        <w:rPr>
          <w:color w:val="000000"/>
          <w:lang w:val="en-CA"/>
        </w:rPr>
        <w:t>social desirability)</w:t>
      </w:r>
      <w:r w:rsidR="00AC6E19" w:rsidRPr="0071085D">
        <w:rPr>
          <w:color w:val="000000"/>
          <w:lang w:val="en-CA"/>
        </w:rPr>
        <w:t xml:space="preserve">. </w:t>
      </w:r>
      <w:r w:rsidR="00581A0C" w:rsidRPr="0071085D">
        <w:rPr>
          <w:color w:val="000000"/>
          <w:lang w:val="en-CA"/>
        </w:rPr>
        <w:t>Secondly</w:t>
      </w:r>
      <w:r w:rsidR="00137D8B" w:rsidRPr="0071085D">
        <w:rPr>
          <w:color w:val="000000"/>
          <w:lang w:val="en-CA"/>
        </w:rPr>
        <w:t xml:space="preserve">, </w:t>
      </w:r>
      <w:r w:rsidRPr="0071085D">
        <w:rPr>
          <w:color w:val="000000"/>
          <w:lang w:val="en-CA"/>
        </w:rPr>
        <w:t xml:space="preserve">a </w:t>
      </w:r>
      <w:r w:rsidR="00137D8B" w:rsidRPr="0071085D">
        <w:rPr>
          <w:color w:val="000000"/>
          <w:lang w:val="en-CA"/>
        </w:rPr>
        <w:t xml:space="preserve">multinomial regression was run </w:t>
      </w:r>
      <w:r w:rsidR="007E688E" w:rsidRPr="0071085D">
        <w:rPr>
          <w:color w:val="000000"/>
          <w:lang w:val="en-CA"/>
        </w:rPr>
        <w:t xml:space="preserve">using </w:t>
      </w:r>
      <w:r w:rsidR="00137D8B" w:rsidRPr="0071085D">
        <w:rPr>
          <w:color w:val="000000"/>
          <w:lang w:val="en-CA"/>
        </w:rPr>
        <w:t xml:space="preserve">the </w:t>
      </w:r>
      <w:r w:rsidR="007E688E" w:rsidRPr="0071085D">
        <w:rPr>
          <w:color w:val="000000"/>
          <w:lang w:val="en-CA"/>
        </w:rPr>
        <w:t xml:space="preserve">significant </w:t>
      </w:r>
      <w:r w:rsidR="00BE643D" w:rsidRPr="0071085D">
        <w:rPr>
          <w:color w:val="000000"/>
          <w:lang w:val="en-CA"/>
        </w:rPr>
        <w:t xml:space="preserve">correlates </w:t>
      </w:r>
      <w:r w:rsidR="007E688E" w:rsidRPr="0071085D">
        <w:rPr>
          <w:color w:val="000000"/>
          <w:lang w:val="en-CA"/>
        </w:rPr>
        <w:t xml:space="preserve">identified in step one </w:t>
      </w:r>
      <w:r w:rsidR="00EF7942" w:rsidRPr="0071085D">
        <w:rPr>
          <w:color w:val="000000"/>
          <w:lang w:val="en-CA"/>
        </w:rPr>
        <w:t>(see Table 4</w:t>
      </w:r>
      <w:r w:rsidR="00F42CE9" w:rsidRPr="0071085D">
        <w:rPr>
          <w:lang w:val="en-CA"/>
        </w:rPr>
        <w:t xml:space="preserve">; </w:t>
      </w:r>
      <w:proofErr w:type="spellStart"/>
      <w:r w:rsidR="00F42CE9" w:rsidRPr="0071085D">
        <w:rPr>
          <w:lang w:val="en-CA"/>
        </w:rPr>
        <w:t>Vermunt</w:t>
      </w:r>
      <w:proofErr w:type="spellEnd"/>
      <w:r w:rsidR="00F42CE9" w:rsidRPr="0071085D">
        <w:rPr>
          <w:lang w:val="en-CA"/>
        </w:rPr>
        <w:t xml:space="preserve">, 2010). </w:t>
      </w:r>
      <w:r w:rsidR="00DC455E" w:rsidRPr="0071085D">
        <w:rPr>
          <w:lang w:val="en-CA"/>
        </w:rPr>
        <w:t xml:space="preserve">No multicollinearity </w:t>
      </w:r>
      <w:r w:rsidR="002502F4" w:rsidRPr="0071085D">
        <w:rPr>
          <w:lang w:val="en-CA"/>
        </w:rPr>
        <w:t>between correlates was</w:t>
      </w:r>
      <w:r w:rsidR="00DC455E" w:rsidRPr="0071085D">
        <w:rPr>
          <w:lang w:val="en-CA"/>
        </w:rPr>
        <w:t xml:space="preserve"> detected </w:t>
      </w:r>
      <w:r w:rsidR="002502F4" w:rsidRPr="0071085D">
        <w:rPr>
          <w:lang w:val="en-CA"/>
        </w:rPr>
        <w:t xml:space="preserve">(variance inflation factor [VIF] ≤ 1.18). </w:t>
      </w:r>
      <w:r w:rsidR="00F42CE9" w:rsidRPr="0071085D">
        <w:rPr>
          <w:lang w:val="en-CA"/>
        </w:rPr>
        <w:t xml:space="preserve">Results show that </w:t>
      </w:r>
      <w:r w:rsidR="008859E2" w:rsidRPr="0071085D">
        <w:rPr>
          <w:color w:val="000000"/>
          <w:lang w:val="en-CA"/>
        </w:rPr>
        <w:t xml:space="preserve">participants in the </w:t>
      </w:r>
      <w:r w:rsidR="008859E2" w:rsidRPr="0071085D">
        <w:rPr>
          <w:i/>
          <w:color w:val="000000"/>
          <w:lang w:val="en-CA"/>
        </w:rPr>
        <w:t>inactive low-risk</w:t>
      </w:r>
      <w:r w:rsidR="008859E2" w:rsidRPr="0071085D">
        <w:rPr>
          <w:color w:val="000000"/>
          <w:lang w:val="en-CA"/>
        </w:rPr>
        <w:t xml:space="preserve"> profile were younger, </w:t>
      </w:r>
      <w:r w:rsidR="00821159" w:rsidRPr="0071085D">
        <w:rPr>
          <w:color w:val="000000"/>
          <w:lang w:val="en-CA"/>
        </w:rPr>
        <w:t xml:space="preserve">significantly </w:t>
      </w:r>
      <w:r w:rsidR="008859E2" w:rsidRPr="0071085D">
        <w:rPr>
          <w:color w:val="000000"/>
          <w:lang w:val="en-CA"/>
        </w:rPr>
        <w:t xml:space="preserve">less educated, more likely to be male, single, and scored </w:t>
      </w:r>
      <w:r w:rsidR="0028301C" w:rsidRPr="0071085D">
        <w:rPr>
          <w:color w:val="000000"/>
          <w:lang w:val="en-CA"/>
        </w:rPr>
        <w:t xml:space="preserve">the </w:t>
      </w:r>
      <w:r w:rsidR="008859E2" w:rsidRPr="0071085D">
        <w:rPr>
          <w:color w:val="000000"/>
          <w:lang w:val="en-CA"/>
        </w:rPr>
        <w:t>low</w:t>
      </w:r>
      <w:r w:rsidR="0028301C" w:rsidRPr="0071085D">
        <w:rPr>
          <w:color w:val="000000"/>
          <w:lang w:val="en-CA"/>
        </w:rPr>
        <w:t>est</w:t>
      </w:r>
      <w:r w:rsidR="008859E2" w:rsidRPr="0071085D">
        <w:rPr>
          <w:color w:val="000000"/>
          <w:lang w:val="en-CA"/>
        </w:rPr>
        <w:t xml:space="preserve"> on impulsive sensation</w:t>
      </w:r>
      <w:r w:rsidR="00D12F81" w:rsidRPr="0071085D">
        <w:rPr>
          <w:color w:val="000000"/>
          <w:lang w:val="en-CA"/>
        </w:rPr>
        <w:t>-</w:t>
      </w:r>
      <w:r w:rsidR="008859E2" w:rsidRPr="0071085D">
        <w:rPr>
          <w:color w:val="000000"/>
          <w:lang w:val="en-CA"/>
        </w:rPr>
        <w:t>seeking. Participants in the</w:t>
      </w:r>
      <w:r w:rsidR="008859E2" w:rsidRPr="0071085D">
        <w:rPr>
          <w:i/>
          <w:color w:val="000000"/>
          <w:lang w:val="en-CA"/>
        </w:rPr>
        <w:t xml:space="preserve"> active low-risk </w:t>
      </w:r>
      <w:r w:rsidR="008859E2" w:rsidRPr="0071085D">
        <w:rPr>
          <w:color w:val="000000"/>
          <w:lang w:val="en-CA"/>
        </w:rPr>
        <w:t xml:space="preserve">profile were also young and </w:t>
      </w:r>
      <w:r w:rsidR="007E688E" w:rsidRPr="0071085D">
        <w:rPr>
          <w:color w:val="000000"/>
          <w:lang w:val="en-CA"/>
        </w:rPr>
        <w:t xml:space="preserve">had low </w:t>
      </w:r>
      <w:r w:rsidR="008859E2" w:rsidRPr="0071085D">
        <w:rPr>
          <w:color w:val="000000"/>
          <w:lang w:val="en-CA"/>
        </w:rPr>
        <w:t>impulsive sensation</w:t>
      </w:r>
      <w:r w:rsidR="00D12F81" w:rsidRPr="0071085D">
        <w:rPr>
          <w:color w:val="000000"/>
          <w:lang w:val="en-CA"/>
        </w:rPr>
        <w:t>-</w:t>
      </w:r>
      <w:r w:rsidR="008859E2" w:rsidRPr="0071085D">
        <w:rPr>
          <w:color w:val="000000"/>
          <w:lang w:val="en-CA"/>
        </w:rPr>
        <w:t xml:space="preserve">seeking </w:t>
      </w:r>
      <w:r w:rsidR="007E688E" w:rsidRPr="0071085D">
        <w:rPr>
          <w:color w:val="000000"/>
          <w:lang w:val="en-CA"/>
        </w:rPr>
        <w:t>scores</w:t>
      </w:r>
      <w:r w:rsidR="00BE643D" w:rsidRPr="0071085D">
        <w:rPr>
          <w:color w:val="000000"/>
          <w:lang w:val="en-CA"/>
        </w:rPr>
        <w:t xml:space="preserve"> </w:t>
      </w:r>
      <w:r w:rsidR="008859E2" w:rsidRPr="0071085D">
        <w:rPr>
          <w:color w:val="000000"/>
          <w:lang w:val="en-CA"/>
        </w:rPr>
        <w:t xml:space="preserve">but were slightly more educated. Nearly all </w:t>
      </w:r>
      <w:r w:rsidR="00031801" w:rsidRPr="0071085D">
        <w:rPr>
          <w:i/>
          <w:color w:val="000000"/>
          <w:lang w:val="en-CA"/>
        </w:rPr>
        <w:t xml:space="preserve">active low-risk </w:t>
      </w:r>
      <w:r w:rsidR="008859E2" w:rsidRPr="0071085D">
        <w:rPr>
          <w:color w:val="000000"/>
          <w:lang w:val="en-CA"/>
        </w:rPr>
        <w:t xml:space="preserve">participants were in a romantic relationship. Participants belonging to the </w:t>
      </w:r>
      <w:r w:rsidR="008859E2" w:rsidRPr="0071085D">
        <w:rPr>
          <w:i/>
          <w:color w:val="000000"/>
          <w:lang w:val="en-CA"/>
        </w:rPr>
        <w:t>mid-risk</w:t>
      </w:r>
      <w:r w:rsidR="008859E2" w:rsidRPr="0071085D">
        <w:rPr>
          <w:color w:val="000000"/>
          <w:lang w:val="en-CA"/>
        </w:rPr>
        <w:t xml:space="preserve"> profile were older</w:t>
      </w:r>
      <w:r w:rsidR="007505D7" w:rsidRPr="0071085D">
        <w:rPr>
          <w:color w:val="000000"/>
          <w:lang w:val="en-CA"/>
        </w:rPr>
        <w:t>, more educated, more likely to be female</w:t>
      </w:r>
      <w:r w:rsidR="00B36475" w:rsidRPr="0071085D">
        <w:rPr>
          <w:color w:val="000000"/>
          <w:lang w:val="en-CA"/>
        </w:rPr>
        <w:t>,</w:t>
      </w:r>
      <w:r w:rsidR="008859E2" w:rsidRPr="0071085D">
        <w:rPr>
          <w:color w:val="000000"/>
          <w:lang w:val="en-CA"/>
        </w:rPr>
        <w:t xml:space="preserve"> and </w:t>
      </w:r>
      <w:r w:rsidR="00D12F81" w:rsidRPr="0071085D">
        <w:rPr>
          <w:color w:val="000000"/>
          <w:lang w:val="en-CA"/>
        </w:rPr>
        <w:t>scored</w:t>
      </w:r>
      <w:r w:rsidR="008859E2" w:rsidRPr="0071085D">
        <w:rPr>
          <w:color w:val="000000"/>
          <w:lang w:val="en-CA"/>
        </w:rPr>
        <w:t xml:space="preserve"> higher on impulsive sensation-seeking than those in the two lower-risk profiles</w:t>
      </w:r>
      <w:r w:rsidR="007505D7" w:rsidRPr="0071085D">
        <w:rPr>
          <w:color w:val="000000"/>
          <w:lang w:val="en-CA"/>
        </w:rPr>
        <w:t xml:space="preserve">. In addition, </w:t>
      </w:r>
      <w:r w:rsidR="00B36475" w:rsidRPr="0071085D">
        <w:rPr>
          <w:color w:val="000000"/>
          <w:lang w:val="en-CA"/>
        </w:rPr>
        <w:t xml:space="preserve">half of </w:t>
      </w:r>
      <w:r w:rsidR="007505D7" w:rsidRPr="0071085D">
        <w:rPr>
          <w:i/>
          <w:color w:val="000000"/>
          <w:lang w:val="en-CA"/>
        </w:rPr>
        <w:t xml:space="preserve">mid-risk </w:t>
      </w:r>
      <w:r w:rsidR="007505D7" w:rsidRPr="0071085D">
        <w:rPr>
          <w:color w:val="000000"/>
          <w:lang w:val="en-CA"/>
        </w:rPr>
        <w:t>participants were</w:t>
      </w:r>
      <w:r w:rsidR="008859E2" w:rsidRPr="0071085D">
        <w:rPr>
          <w:color w:val="000000"/>
          <w:lang w:val="en-CA"/>
        </w:rPr>
        <w:t xml:space="preserve"> in a relationship. I</w:t>
      </w:r>
      <w:r w:rsidR="008859E2" w:rsidRPr="0071085D">
        <w:rPr>
          <w:lang w:val="en-CA"/>
        </w:rPr>
        <w:t xml:space="preserve">ndividuals classified in </w:t>
      </w:r>
      <w:r w:rsidR="008859E2" w:rsidRPr="0071085D">
        <w:rPr>
          <w:lang w:val="en-CA"/>
        </w:rPr>
        <w:lastRenderedPageBreak/>
        <w:t xml:space="preserve">the </w:t>
      </w:r>
      <w:r w:rsidR="008859E2" w:rsidRPr="0071085D">
        <w:rPr>
          <w:i/>
          <w:lang w:val="en-CA"/>
        </w:rPr>
        <w:t>high-risk</w:t>
      </w:r>
      <w:r w:rsidR="008859E2" w:rsidRPr="0071085D">
        <w:rPr>
          <w:lang w:val="en-CA"/>
        </w:rPr>
        <w:t xml:space="preserve"> profile were the </w:t>
      </w:r>
      <w:r w:rsidR="008859E2" w:rsidRPr="0071085D">
        <w:rPr>
          <w:color w:val="000000"/>
          <w:lang w:val="en-CA"/>
        </w:rPr>
        <w:t>oldest</w:t>
      </w:r>
      <w:r w:rsidR="00B36475" w:rsidRPr="0071085D">
        <w:rPr>
          <w:color w:val="000000"/>
          <w:lang w:val="en-CA"/>
        </w:rPr>
        <w:t>,</w:t>
      </w:r>
      <w:r w:rsidR="008859E2" w:rsidRPr="0071085D">
        <w:rPr>
          <w:color w:val="000000"/>
          <w:lang w:val="en-CA"/>
        </w:rPr>
        <w:t xml:space="preserve"> were mostly single and female</w:t>
      </w:r>
      <w:r w:rsidR="00B36475" w:rsidRPr="0071085D">
        <w:rPr>
          <w:color w:val="000000"/>
          <w:lang w:val="en-CA"/>
        </w:rPr>
        <w:t>,</w:t>
      </w:r>
      <w:r w:rsidR="008859E2" w:rsidRPr="0071085D">
        <w:rPr>
          <w:color w:val="000000"/>
          <w:lang w:val="en-CA"/>
        </w:rPr>
        <w:t xml:space="preserve"> and had significantly more impulsive sensation-seeking than all three other groups. </w:t>
      </w:r>
    </w:p>
    <w:p w14:paraId="67416EE7" w14:textId="324F7045" w:rsidR="00AC6E19" w:rsidRPr="0071085D" w:rsidRDefault="00AC6E19" w:rsidP="004235CF">
      <w:pPr>
        <w:widowControl w:val="0"/>
        <w:autoSpaceDE w:val="0"/>
        <w:autoSpaceDN w:val="0"/>
        <w:adjustRightInd w:val="0"/>
        <w:spacing w:after="0" w:line="480" w:lineRule="auto"/>
        <w:rPr>
          <w:b/>
          <w:color w:val="000000"/>
          <w:lang w:val="en-CA"/>
        </w:rPr>
      </w:pPr>
      <w:r w:rsidRPr="0071085D">
        <w:rPr>
          <w:b/>
          <w:color w:val="000000"/>
          <w:lang w:val="en-CA"/>
        </w:rPr>
        <w:t xml:space="preserve">Class </w:t>
      </w:r>
      <w:r w:rsidR="00F77DD8" w:rsidRPr="0071085D">
        <w:rPr>
          <w:b/>
          <w:color w:val="000000"/>
          <w:lang w:val="en-CA"/>
        </w:rPr>
        <w:t>Outcomes</w:t>
      </w:r>
    </w:p>
    <w:p w14:paraId="473F1558" w14:textId="27C80163" w:rsidR="00137D8B" w:rsidRPr="0071085D" w:rsidRDefault="00821159" w:rsidP="004235CF">
      <w:pPr>
        <w:widowControl w:val="0"/>
        <w:spacing w:after="0" w:line="480" w:lineRule="auto"/>
        <w:ind w:firstLine="709"/>
        <w:rPr>
          <w:rFonts w:eastAsia="Times New Roman"/>
          <w:bCs/>
          <w:lang w:val="en-CA" w:eastAsia="fr-CA"/>
        </w:rPr>
      </w:pPr>
      <w:r w:rsidRPr="0071085D">
        <w:rPr>
          <w:rFonts w:eastAsia="Times New Roman"/>
          <w:bCs/>
          <w:lang w:val="en-CA" w:eastAsia="fr-CA"/>
        </w:rPr>
        <w:t xml:space="preserve">Latent class comparisons on </w:t>
      </w:r>
      <w:r w:rsidR="00D8665A" w:rsidRPr="0071085D">
        <w:rPr>
          <w:rFonts w:eastAsia="Times New Roman"/>
          <w:bCs/>
          <w:lang w:val="en-CA" w:eastAsia="fr-CA"/>
        </w:rPr>
        <w:t xml:space="preserve">risk-taking </w:t>
      </w:r>
      <w:r w:rsidRPr="0071085D">
        <w:rPr>
          <w:rFonts w:eastAsia="Times New Roman"/>
          <w:bCs/>
          <w:lang w:val="en-CA" w:eastAsia="fr-CA"/>
        </w:rPr>
        <w:t xml:space="preserve">behavior </w:t>
      </w:r>
      <w:r w:rsidR="00BE33E3" w:rsidRPr="0071085D">
        <w:rPr>
          <w:rFonts w:eastAsia="Times New Roman"/>
          <w:bCs/>
          <w:lang w:val="en-CA" w:eastAsia="fr-CA"/>
        </w:rPr>
        <w:t xml:space="preserve">outcomes </w:t>
      </w:r>
      <w:r w:rsidRPr="0071085D">
        <w:rPr>
          <w:rFonts w:eastAsia="Times New Roman"/>
          <w:bCs/>
          <w:lang w:val="en-CA" w:eastAsia="fr-CA"/>
        </w:rPr>
        <w:t xml:space="preserve">are reported in Table 5. </w:t>
      </w:r>
      <w:r w:rsidR="00631009" w:rsidRPr="0071085D">
        <w:rPr>
          <w:lang w:val="en-CA"/>
        </w:rPr>
        <w:t>Tests of equality of probabilities</w:t>
      </w:r>
      <w:r w:rsidRPr="0071085D">
        <w:rPr>
          <w:lang w:val="en-CA"/>
        </w:rPr>
        <w:t xml:space="preserve"> (or </w:t>
      </w:r>
      <w:r w:rsidR="00631009" w:rsidRPr="0071085D">
        <w:rPr>
          <w:lang w:val="en-CA"/>
        </w:rPr>
        <w:t>means</w:t>
      </w:r>
      <w:r w:rsidRPr="0071085D">
        <w:rPr>
          <w:lang w:val="en-CA"/>
        </w:rPr>
        <w:t>)</w:t>
      </w:r>
      <w:r w:rsidR="00631009" w:rsidRPr="0071085D">
        <w:rPr>
          <w:lang w:val="en-CA"/>
        </w:rPr>
        <w:t xml:space="preserve"> across classes were conducted to examine whether risk-taking outcomes differed significantly across classes. We used the Lanza and colleagues’ </w:t>
      </w:r>
      <w:r w:rsidR="00BE33E3" w:rsidRPr="0071085D">
        <w:rPr>
          <w:lang w:val="en-CA"/>
        </w:rPr>
        <w:t xml:space="preserve">(2013) </w:t>
      </w:r>
      <w:r w:rsidR="00631009" w:rsidRPr="0071085D">
        <w:rPr>
          <w:lang w:val="en-CA"/>
        </w:rPr>
        <w:t xml:space="preserve">method for our two binary outcomes (i.e., </w:t>
      </w:r>
      <w:r w:rsidR="00631009" w:rsidRPr="0071085D">
        <w:rPr>
          <w:color w:val="000000"/>
          <w:lang w:val="en-CA"/>
        </w:rPr>
        <w:t>STI testing</w:t>
      </w:r>
      <w:r w:rsidR="00BE33E3" w:rsidRPr="0071085D">
        <w:rPr>
          <w:color w:val="000000"/>
          <w:lang w:val="en-CA"/>
        </w:rPr>
        <w:t xml:space="preserve"> and</w:t>
      </w:r>
      <w:r w:rsidR="00631009" w:rsidRPr="0071085D">
        <w:rPr>
          <w:color w:val="000000"/>
          <w:lang w:val="en-CA"/>
        </w:rPr>
        <w:t xml:space="preserve"> diagnoses). For our continuous outcome (i.e., substance use problems</w:t>
      </w:r>
      <w:r w:rsidR="00631009" w:rsidRPr="0071085D">
        <w:rPr>
          <w:lang w:val="en-CA"/>
        </w:rPr>
        <w:t>),</w:t>
      </w:r>
      <w:r w:rsidR="00631009" w:rsidRPr="0071085D">
        <w:rPr>
          <w:color w:val="000000"/>
          <w:lang w:val="en-CA"/>
        </w:rPr>
        <w:t xml:space="preserve"> the modified BCH method was used (Bakk &amp; </w:t>
      </w:r>
      <w:proofErr w:type="spellStart"/>
      <w:r w:rsidR="00631009" w:rsidRPr="0071085D">
        <w:rPr>
          <w:color w:val="000000"/>
          <w:lang w:val="en-CA"/>
        </w:rPr>
        <w:t>Vermunt</w:t>
      </w:r>
      <w:proofErr w:type="spellEnd"/>
      <w:r w:rsidR="00631009" w:rsidRPr="0071085D">
        <w:rPr>
          <w:color w:val="000000"/>
          <w:lang w:val="en-CA"/>
        </w:rPr>
        <w:t>, 2016)</w:t>
      </w:r>
      <w:r w:rsidRPr="0071085D">
        <w:rPr>
          <w:color w:val="000000"/>
          <w:lang w:val="en-CA"/>
        </w:rPr>
        <w:t xml:space="preserve"> because it </w:t>
      </w:r>
      <w:r w:rsidR="00631009" w:rsidRPr="0071085D">
        <w:rPr>
          <w:color w:val="000000"/>
          <w:lang w:val="en-CA"/>
        </w:rPr>
        <w:t xml:space="preserve">is </w:t>
      </w:r>
      <w:r w:rsidR="009156BB" w:rsidRPr="0071085D">
        <w:rPr>
          <w:color w:val="000000"/>
          <w:lang w:val="en-CA"/>
        </w:rPr>
        <w:t xml:space="preserve">currently </w:t>
      </w:r>
      <w:r w:rsidR="00631009" w:rsidRPr="0071085D">
        <w:rPr>
          <w:color w:val="000000"/>
          <w:lang w:val="en-CA"/>
        </w:rPr>
        <w:t xml:space="preserve">considered </w:t>
      </w:r>
      <w:r w:rsidR="009156BB" w:rsidRPr="0071085D">
        <w:rPr>
          <w:color w:val="000000"/>
          <w:lang w:val="en-CA"/>
        </w:rPr>
        <w:t>to be</w:t>
      </w:r>
      <w:r w:rsidR="00631009" w:rsidRPr="0071085D">
        <w:rPr>
          <w:color w:val="000000"/>
          <w:lang w:val="en-CA"/>
        </w:rPr>
        <w:t xml:space="preserve"> </w:t>
      </w:r>
      <w:r w:rsidR="00631009" w:rsidRPr="0071085D">
        <w:rPr>
          <w:lang w:val="en-CA"/>
        </w:rPr>
        <w:t xml:space="preserve">the most robust </w:t>
      </w:r>
      <w:r w:rsidR="009156BB" w:rsidRPr="0071085D">
        <w:rPr>
          <w:lang w:val="en-CA"/>
        </w:rPr>
        <w:t xml:space="preserve">method </w:t>
      </w:r>
      <w:r w:rsidR="00631009" w:rsidRPr="0071085D">
        <w:rPr>
          <w:lang w:val="en-CA"/>
        </w:rPr>
        <w:t>available (i.e. resistance to class shifts</w:t>
      </w:r>
      <w:r w:rsidR="00A36F9A" w:rsidRPr="0071085D">
        <w:rPr>
          <w:lang w:val="en-CA"/>
        </w:rPr>
        <w:t>;</w:t>
      </w:r>
      <w:r w:rsidR="00631009" w:rsidRPr="0071085D">
        <w:rPr>
          <w:lang w:val="en-CA"/>
        </w:rPr>
        <w:t xml:space="preserve"> accounts for unequal variance through ponderation of each class; </w:t>
      </w:r>
      <w:proofErr w:type="spellStart"/>
      <w:r w:rsidR="00631009" w:rsidRPr="0071085D">
        <w:rPr>
          <w:lang w:val="en-CA"/>
        </w:rPr>
        <w:t>Asparouhov</w:t>
      </w:r>
      <w:proofErr w:type="spellEnd"/>
      <w:r w:rsidR="00631009" w:rsidRPr="0071085D">
        <w:rPr>
          <w:lang w:val="en-CA"/>
        </w:rPr>
        <w:t xml:space="preserve"> &amp; </w:t>
      </w:r>
      <w:proofErr w:type="spellStart"/>
      <w:r w:rsidR="00631009" w:rsidRPr="0071085D">
        <w:rPr>
          <w:lang w:val="en-CA"/>
        </w:rPr>
        <w:t>Muthén</w:t>
      </w:r>
      <w:proofErr w:type="spellEnd"/>
      <w:r w:rsidR="00631009" w:rsidRPr="0071085D">
        <w:rPr>
          <w:lang w:val="en-CA"/>
        </w:rPr>
        <w:t xml:space="preserve">, 2015). </w:t>
      </w:r>
      <w:r w:rsidR="00A36F9A" w:rsidRPr="0071085D">
        <w:rPr>
          <w:rFonts w:eastAsia="Times New Roman"/>
          <w:bCs/>
          <w:lang w:val="en-CA" w:eastAsia="fr-CA"/>
        </w:rPr>
        <w:t xml:space="preserve">Analyses </w:t>
      </w:r>
      <w:r w:rsidR="00F27585" w:rsidRPr="0071085D">
        <w:rPr>
          <w:rFonts w:eastAsia="Times New Roman"/>
          <w:bCs/>
          <w:lang w:val="en-CA" w:eastAsia="fr-CA"/>
        </w:rPr>
        <w:t>reveal</w:t>
      </w:r>
      <w:r w:rsidR="00A36F9A" w:rsidRPr="0071085D">
        <w:rPr>
          <w:rFonts w:eastAsia="Times New Roman"/>
          <w:bCs/>
          <w:lang w:val="en-CA" w:eastAsia="fr-CA"/>
        </w:rPr>
        <w:t>ed</w:t>
      </w:r>
      <w:r w:rsidR="00AC6E19" w:rsidRPr="0071085D">
        <w:rPr>
          <w:rFonts w:eastAsia="Times New Roman"/>
          <w:bCs/>
          <w:lang w:val="en-CA" w:eastAsia="fr-CA"/>
        </w:rPr>
        <w:t xml:space="preserve"> that</w:t>
      </w:r>
      <w:r w:rsidR="00552645" w:rsidRPr="0071085D">
        <w:rPr>
          <w:rFonts w:eastAsia="Times New Roman"/>
          <w:bCs/>
          <w:lang w:val="en-CA" w:eastAsia="fr-CA"/>
        </w:rPr>
        <w:t xml:space="preserve"> </w:t>
      </w:r>
      <w:r w:rsidR="00A36F9A" w:rsidRPr="0071085D">
        <w:rPr>
          <w:rFonts w:eastAsia="Times New Roman"/>
          <w:bCs/>
          <w:lang w:val="en-CA" w:eastAsia="fr-CA"/>
        </w:rPr>
        <w:t xml:space="preserve">participants categorized in the </w:t>
      </w:r>
      <w:r w:rsidR="00A36F9A" w:rsidRPr="0071085D">
        <w:rPr>
          <w:rFonts w:eastAsia="Times New Roman"/>
          <w:bCs/>
          <w:i/>
          <w:lang w:val="en-CA" w:eastAsia="fr-CA"/>
        </w:rPr>
        <w:t xml:space="preserve">mid- </w:t>
      </w:r>
      <w:r w:rsidR="00A36F9A" w:rsidRPr="0071085D">
        <w:rPr>
          <w:rFonts w:eastAsia="Times New Roman"/>
          <w:bCs/>
          <w:lang w:val="en-CA" w:eastAsia="fr-CA"/>
        </w:rPr>
        <w:t xml:space="preserve">and </w:t>
      </w:r>
      <w:r w:rsidR="00A36F9A" w:rsidRPr="0071085D">
        <w:rPr>
          <w:rFonts w:eastAsia="Times New Roman"/>
          <w:bCs/>
          <w:i/>
          <w:lang w:val="en-CA" w:eastAsia="fr-CA"/>
        </w:rPr>
        <w:t xml:space="preserve">high-risk </w:t>
      </w:r>
      <w:r w:rsidR="007A7466" w:rsidRPr="0071085D">
        <w:rPr>
          <w:rFonts w:eastAsia="Times New Roman"/>
          <w:bCs/>
          <w:lang w:val="en-CA" w:eastAsia="fr-CA"/>
        </w:rPr>
        <w:t>profiles</w:t>
      </w:r>
      <w:r w:rsidR="007A7466" w:rsidRPr="0071085D">
        <w:rPr>
          <w:rFonts w:eastAsia="Times New Roman"/>
          <w:bCs/>
          <w:i/>
          <w:lang w:val="en-CA" w:eastAsia="fr-CA"/>
        </w:rPr>
        <w:t xml:space="preserve"> </w:t>
      </w:r>
      <w:r w:rsidR="00AC6E19" w:rsidRPr="0071085D">
        <w:rPr>
          <w:rFonts w:eastAsia="Times New Roman"/>
          <w:bCs/>
          <w:lang w:val="en-CA" w:eastAsia="fr-CA"/>
        </w:rPr>
        <w:t xml:space="preserve">were </w:t>
      </w:r>
      <w:r w:rsidR="007A7466" w:rsidRPr="0071085D">
        <w:rPr>
          <w:rFonts w:eastAsia="Times New Roman"/>
          <w:bCs/>
          <w:lang w:val="en-CA" w:eastAsia="fr-CA"/>
        </w:rPr>
        <w:t xml:space="preserve">more </w:t>
      </w:r>
      <w:r w:rsidR="00AC6E19" w:rsidRPr="0071085D">
        <w:rPr>
          <w:rFonts w:eastAsia="Times New Roman"/>
          <w:bCs/>
          <w:lang w:val="en-CA" w:eastAsia="fr-CA"/>
        </w:rPr>
        <w:t>likely to hav</w:t>
      </w:r>
      <w:r w:rsidR="00A36F9A" w:rsidRPr="0071085D">
        <w:rPr>
          <w:rFonts w:eastAsia="Times New Roman"/>
          <w:bCs/>
          <w:lang w:val="en-CA" w:eastAsia="fr-CA"/>
        </w:rPr>
        <w:t>e</w:t>
      </w:r>
      <w:r w:rsidR="00AC6E19" w:rsidRPr="0071085D">
        <w:rPr>
          <w:rFonts w:eastAsia="Times New Roman"/>
          <w:bCs/>
          <w:lang w:val="en-CA" w:eastAsia="fr-CA"/>
        </w:rPr>
        <w:t xml:space="preserve"> been screened for </w:t>
      </w:r>
      <w:r w:rsidR="00A36F9A" w:rsidRPr="0071085D">
        <w:rPr>
          <w:rFonts w:eastAsia="Times New Roman"/>
          <w:bCs/>
          <w:lang w:val="en-CA" w:eastAsia="fr-CA"/>
        </w:rPr>
        <w:t xml:space="preserve">and diagnosed with an </w:t>
      </w:r>
      <w:r w:rsidR="00AC6E19" w:rsidRPr="0071085D">
        <w:rPr>
          <w:rFonts w:eastAsia="Times New Roman"/>
          <w:bCs/>
          <w:lang w:val="en-CA" w:eastAsia="fr-CA"/>
        </w:rPr>
        <w:t>STI</w:t>
      </w:r>
      <w:r w:rsidR="007A7466" w:rsidRPr="0071085D">
        <w:rPr>
          <w:rFonts w:eastAsia="Times New Roman"/>
          <w:bCs/>
          <w:lang w:val="en-CA" w:eastAsia="fr-CA"/>
        </w:rPr>
        <w:t xml:space="preserve">. </w:t>
      </w:r>
      <w:r w:rsidR="00AC6E19" w:rsidRPr="0071085D">
        <w:rPr>
          <w:rFonts w:eastAsia="Times New Roman"/>
          <w:lang w:val="en-CA" w:eastAsia="fr-CA"/>
        </w:rPr>
        <w:t>T</w:t>
      </w:r>
      <w:r w:rsidR="00AC6E19" w:rsidRPr="0071085D">
        <w:rPr>
          <w:rFonts w:eastAsia="Times New Roman"/>
          <w:bCs/>
          <w:lang w:val="en-CA" w:eastAsia="fr-CA"/>
        </w:rPr>
        <w:t>he likelihood of scor</w:t>
      </w:r>
      <w:r w:rsidRPr="0071085D">
        <w:rPr>
          <w:rFonts w:eastAsia="Times New Roman"/>
          <w:bCs/>
          <w:lang w:val="en-CA" w:eastAsia="fr-CA"/>
        </w:rPr>
        <w:t xml:space="preserve">ing </w:t>
      </w:r>
      <w:r w:rsidR="00AC6E19" w:rsidRPr="0071085D">
        <w:rPr>
          <w:rFonts w:eastAsia="Times New Roman"/>
          <w:bCs/>
          <w:lang w:val="en-CA" w:eastAsia="fr-CA"/>
        </w:rPr>
        <w:t xml:space="preserve">higher </w:t>
      </w:r>
      <w:r w:rsidR="00AC6E19" w:rsidRPr="0071085D">
        <w:rPr>
          <w:rFonts w:eastAsia="Times New Roman"/>
          <w:lang w:val="en-CA" w:eastAsia="fr-CA"/>
        </w:rPr>
        <w:t xml:space="preserve">on </w:t>
      </w:r>
      <w:r w:rsidR="005A3BFC" w:rsidRPr="0071085D">
        <w:rPr>
          <w:rFonts w:eastAsia="Times New Roman"/>
          <w:lang w:val="en-CA" w:eastAsia="fr-CA"/>
        </w:rPr>
        <w:t xml:space="preserve">substance </w:t>
      </w:r>
      <w:r w:rsidR="00AC6E19" w:rsidRPr="0071085D">
        <w:rPr>
          <w:rFonts w:eastAsia="Times New Roman"/>
          <w:lang w:val="en-CA" w:eastAsia="fr-CA"/>
        </w:rPr>
        <w:t>problem</w:t>
      </w:r>
      <w:r w:rsidRPr="0071085D">
        <w:rPr>
          <w:rFonts w:eastAsia="Times New Roman"/>
          <w:lang w:val="en-CA" w:eastAsia="fr-CA"/>
        </w:rPr>
        <w:t xml:space="preserve">s </w:t>
      </w:r>
      <w:r w:rsidR="007A7466" w:rsidRPr="0071085D">
        <w:rPr>
          <w:rFonts w:eastAsia="Times New Roman"/>
          <w:lang w:val="en-CA" w:eastAsia="fr-CA"/>
        </w:rPr>
        <w:t>also</w:t>
      </w:r>
      <w:r w:rsidR="00AC6E19" w:rsidRPr="0071085D">
        <w:rPr>
          <w:rFonts w:eastAsia="Times New Roman"/>
          <w:lang w:val="en-CA" w:eastAsia="fr-CA"/>
        </w:rPr>
        <w:t xml:space="preserve"> incre</w:t>
      </w:r>
      <w:r w:rsidR="00AC6E19" w:rsidRPr="0071085D">
        <w:rPr>
          <w:rFonts w:eastAsia="Times New Roman"/>
          <w:bCs/>
          <w:lang w:val="en-CA" w:eastAsia="fr-CA"/>
        </w:rPr>
        <w:t xml:space="preserve">ased among </w:t>
      </w:r>
      <w:r w:rsidR="00933DA9" w:rsidRPr="0071085D">
        <w:rPr>
          <w:rFonts w:eastAsia="Times New Roman"/>
          <w:bCs/>
          <w:lang w:val="en-CA" w:eastAsia="fr-CA"/>
        </w:rPr>
        <w:t>these two</w:t>
      </w:r>
      <w:r w:rsidR="00AC6E19" w:rsidRPr="0071085D">
        <w:rPr>
          <w:rFonts w:eastAsia="Times New Roman"/>
          <w:bCs/>
          <w:lang w:val="en-CA" w:eastAsia="fr-CA"/>
        </w:rPr>
        <w:t xml:space="preserve"> </w:t>
      </w:r>
      <w:r w:rsidR="00EF7942" w:rsidRPr="0071085D">
        <w:rPr>
          <w:rFonts w:eastAsia="Times New Roman"/>
          <w:bCs/>
          <w:lang w:val="en-CA" w:eastAsia="fr-CA"/>
        </w:rPr>
        <w:t>profile</w:t>
      </w:r>
      <w:r w:rsidR="00AC6E19" w:rsidRPr="0071085D">
        <w:rPr>
          <w:rFonts w:eastAsia="Times New Roman"/>
          <w:bCs/>
          <w:lang w:val="en-CA" w:eastAsia="fr-CA"/>
        </w:rPr>
        <w:t>s.</w:t>
      </w:r>
      <w:r w:rsidR="00601620" w:rsidRPr="0071085D">
        <w:rPr>
          <w:rFonts w:eastAsia="Times New Roman"/>
          <w:bCs/>
          <w:lang w:val="en-CA" w:eastAsia="fr-CA"/>
        </w:rPr>
        <w:t xml:space="preserve"> </w:t>
      </w:r>
      <w:r w:rsidR="00601620" w:rsidRPr="0071085D">
        <w:rPr>
          <w:bCs/>
          <w:lang w:val="en-CA"/>
        </w:rPr>
        <w:t xml:space="preserve">Among the </w:t>
      </w:r>
      <w:r w:rsidR="00601620" w:rsidRPr="0071085D">
        <w:rPr>
          <w:lang w:val="en-CA"/>
        </w:rPr>
        <w:t xml:space="preserve">91% of individuals who got tested for STIs in the </w:t>
      </w:r>
      <w:r w:rsidR="00601620" w:rsidRPr="0071085D">
        <w:rPr>
          <w:i/>
          <w:lang w:val="en-CA"/>
        </w:rPr>
        <w:t>high-risk</w:t>
      </w:r>
      <w:r w:rsidR="00601620" w:rsidRPr="0071085D">
        <w:rPr>
          <w:lang w:val="en-CA"/>
        </w:rPr>
        <w:t xml:space="preserve"> profile, more than half tested positive at least once, and t</w:t>
      </w:r>
      <w:r w:rsidR="00601620" w:rsidRPr="0071085D">
        <w:rPr>
          <w:color w:val="000000"/>
          <w:lang w:val="en-CA"/>
        </w:rPr>
        <w:t>hey also experienced several substance use-related problems.</w:t>
      </w:r>
    </w:p>
    <w:p w14:paraId="7802F063" w14:textId="049335F3" w:rsidR="000B7B01" w:rsidRPr="0071085D" w:rsidRDefault="000B7B01" w:rsidP="004235CF">
      <w:pPr>
        <w:pStyle w:val="NormalWeb"/>
        <w:widowControl w:val="0"/>
        <w:spacing w:before="0" w:beforeAutospacing="0" w:after="0" w:afterAutospacing="0" w:line="480" w:lineRule="auto"/>
        <w:jc w:val="center"/>
        <w:rPr>
          <w:b/>
          <w:bCs/>
          <w:lang w:val="en-CA"/>
        </w:rPr>
      </w:pPr>
      <w:r w:rsidRPr="0071085D">
        <w:rPr>
          <w:b/>
          <w:bCs/>
          <w:lang w:val="en-CA"/>
        </w:rPr>
        <w:t>Discussion</w:t>
      </w:r>
    </w:p>
    <w:p w14:paraId="15106414" w14:textId="08C5A079" w:rsidR="001015E7" w:rsidRPr="0071085D" w:rsidRDefault="00E972D2" w:rsidP="004235CF">
      <w:pPr>
        <w:pStyle w:val="NormalWeb"/>
        <w:widowControl w:val="0"/>
        <w:spacing w:before="0" w:beforeAutospacing="0" w:after="0" w:afterAutospacing="0" w:line="480" w:lineRule="auto"/>
        <w:ind w:firstLine="709"/>
        <w:contextualSpacing/>
        <w:rPr>
          <w:bCs/>
          <w:lang w:val="en-CA"/>
        </w:rPr>
      </w:pPr>
      <w:r w:rsidRPr="0071085D">
        <w:rPr>
          <w:lang w:val="en-CA"/>
        </w:rPr>
        <w:t xml:space="preserve">This study’s </w:t>
      </w:r>
      <w:r w:rsidR="00D71D7F" w:rsidRPr="0071085D">
        <w:rPr>
          <w:lang w:val="en-CA"/>
        </w:rPr>
        <w:t xml:space="preserve">first objective was to </w:t>
      </w:r>
      <w:r w:rsidR="00090F31" w:rsidRPr="0071085D">
        <w:rPr>
          <w:lang w:val="en-CA"/>
        </w:rPr>
        <w:t xml:space="preserve">explore patterns of </w:t>
      </w:r>
      <w:r w:rsidRPr="0071085D">
        <w:rPr>
          <w:lang w:val="en-CA"/>
        </w:rPr>
        <w:t xml:space="preserve">sexual and substance-related </w:t>
      </w:r>
      <w:r w:rsidR="00090F31" w:rsidRPr="0071085D">
        <w:rPr>
          <w:lang w:val="en-CA"/>
        </w:rPr>
        <w:t xml:space="preserve">risk-taking behavior </w:t>
      </w:r>
      <w:r w:rsidRPr="0071085D">
        <w:rPr>
          <w:lang w:val="en-CA"/>
        </w:rPr>
        <w:t>among</w:t>
      </w:r>
      <w:r w:rsidR="00090F31" w:rsidRPr="0071085D">
        <w:rPr>
          <w:lang w:val="en-CA"/>
        </w:rPr>
        <w:t xml:space="preserve"> emerging adults</w:t>
      </w:r>
      <w:r w:rsidR="00A01F6B" w:rsidRPr="0071085D">
        <w:rPr>
          <w:lang w:val="en-CA"/>
        </w:rPr>
        <w:t>,</w:t>
      </w:r>
      <w:r w:rsidR="00090F31" w:rsidRPr="0071085D">
        <w:rPr>
          <w:lang w:val="en-CA"/>
        </w:rPr>
        <w:t xml:space="preserve"> </w:t>
      </w:r>
      <w:r w:rsidR="006C79E8" w:rsidRPr="0071085D">
        <w:rPr>
          <w:lang w:val="en-CA"/>
        </w:rPr>
        <w:t xml:space="preserve">and </w:t>
      </w:r>
      <w:r w:rsidR="00090F31" w:rsidRPr="0071085D">
        <w:rPr>
          <w:lang w:val="en-CA"/>
        </w:rPr>
        <w:t xml:space="preserve">to </w:t>
      </w:r>
      <w:r w:rsidR="0068559D" w:rsidRPr="0071085D">
        <w:rPr>
          <w:lang w:val="en-CA"/>
        </w:rPr>
        <w:t>investigate</w:t>
      </w:r>
      <w:r w:rsidR="00090F31" w:rsidRPr="0071085D">
        <w:rPr>
          <w:lang w:val="en-CA"/>
        </w:rPr>
        <w:t xml:space="preserve"> whether these </w:t>
      </w:r>
      <w:r w:rsidR="00601E6F" w:rsidRPr="0071085D">
        <w:rPr>
          <w:lang w:val="en-CA"/>
        </w:rPr>
        <w:t xml:space="preserve">risk-taking </w:t>
      </w:r>
      <w:r w:rsidR="00090F31" w:rsidRPr="0071085D">
        <w:rPr>
          <w:lang w:val="en-CA"/>
        </w:rPr>
        <w:t>behaviors cluster</w:t>
      </w:r>
      <w:r w:rsidR="00A01F6B" w:rsidRPr="0071085D">
        <w:rPr>
          <w:lang w:val="en-CA"/>
        </w:rPr>
        <w:t>ed</w:t>
      </w:r>
      <w:r w:rsidR="00090F31" w:rsidRPr="0071085D">
        <w:rPr>
          <w:lang w:val="en-CA"/>
        </w:rPr>
        <w:t xml:space="preserve"> into different profiles</w:t>
      </w:r>
      <w:r w:rsidR="00D71D7F" w:rsidRPr="0071085D">
        <w:rPr>
          <w:lang w:val="en-CA"/>
        </w:rPr>
        <w:t xml:space="preserve">. </w:t>
      </w:r>
      <w:r w:rsidR="00D60886" w:rsidRPr="0071085D">
        <w:rPr>
          <w:lang w:val="en-CA"/>
        </w:rPr>
        <w:t>Consistent with prior literature showing that sexual risk-tak</w:t>
      </w:r>
      <w:r w:rsidRPr="0071085D">
        <w:rPr>
          <w:lang w:val="en-CA"/>
        </w:rPr>
        <w:t>ing</w:t>
      </w:r>
      <w:r w:rsidR="00D60886" w:rsidRPr="0071085D">
        <w:rPr>
          <w:lang w:val="en-CA"/>
        </w:rPr>
        <w:t xml:space="preserve"> </w:t>
      </w:r>
      <w:r w:rsidR="00842749" w:rsidRPr="0071085D">
        <w:rPr>
          <w:lang w:val="en-CA"/>
        </w:rPr>
        <w:t>positively correlates to</w:t>
      </w:r>
      <w:r w:rsidR="00D60886" w:rsidRPr="0071085D">
        <w:rPr>
          <w:lang w:val="en-CA"/>
        </w:rPr>
        <w:t xml:space="preserve"> substance misuse behaviors, o</w:t>
      </w:r>
      <w:r w:rsidR="00D71D7F" w:rsidRPr="0071085D">
        <w:rPr>
          <w:lang w:val="en-CA"/>
        </w:rPr>
        <w:t>ur</w:t>
      </w:r>
      <w:r w:rsidR="00090F31" w:rsidRPr="0071085D">
        <w:rPr>
          <w:lang w:val="en-CA"/>
        </w:rPr>
        <w:t xml:space="preserve"> findings indicate that risk-taking behaviors</w:t>
      </w:r>
      <w:r w:rsidR="00A17E9A" w:rsidRPr="0071085D">
        <w:rPr>
          <w:i/>
          <w:lang w:val="en-CA"/>
        </w:rPr>
        <w:t xml:space="preserve"> </w:t>
      </w:r>
      <w:r w:rsidR="00842749" w:rsidRPr="0071085D">
        <w:rPr>
          <w:bCs/>
          <w:lang w:val="en-CA"/>
        </w:rPr>
        <w:t xml:space="preserve">do </w:t>
      </w:r>
      <w:r w:rsidR="00090F31" w:rsidRPr="0071085D">
        <w:rPr>
          <w:bCs/>
          <w:lang w:val="en-CA"/>
        </w:rPr>
        <w:t xml:space="preserve">indeed </w:t>
      </w:r>
      <w:r w:rsidR="00090F31" w:rsidRPr="0071085D">
        <w:rPr>
          <w:lang w:val="en-CA"/>
        </w:rPr>
        <w:t>cluster</w:t>
      </w:r>
      <w:r w:rsidR="005F4887" w:rsidRPr="0071085D">
        <w:rPr>
          <w:bCs/>
          <w:i/>
          <w:lang w:val="en-CA"/>
        </w:rPr>
        <w:t>,</w:t>
      </w:r>
      <w:r w:rsidR="005F4887" w:rsidRPr="0071085D">
        <w:rPr>
          <w:bCs/>
          <w:lang w:val="en-CA"/>
        </w:rPr>
        <w:t xml:space="preserve"> at least in the sexual and substance use domains</w:t>
      </w:r>
      <w:r w:rsidR="006979BD" w:rsidRPr="0071085D">
        <w:rPr>
          <w:lang w:val="en-US"/>
        </w:rPr>
        <w:t>.</w:t>
      </w:r>
      <w:r w:rsidR="007E4CEF" w:rsidRPr="0071085D">
        <w:rPr>
          <w:lang w:val="en-US"/>
        </w:rPr>
        <w:t xml:space="preserve"> </w:t>
      </w:r>
      <w:r w:rsidR="000617D6" w:rsidRPr="0071085D">
        <w:rPr>
          <w:lang w:val="en-US"/>
        </w:rPr>
        <w:t xml:space="preserve">As such, participants </w:t>
      </w:r>
      <w:r w:rsidR="00842749" w:rsidRPr="0071085D">
        <w:rPr>
          <w:lang w:val="en-US"/>
        </w:rPr>
        <w:t xml:space="preserve">reporting </w:t>
      </w:r>
      <w:r w:rsidR="000617D6" w:rsidRPr="0071085D">
        <w:rPr>
          <w:lang w:val="en-US"/>
        </w:rPr>
        <w:t>h</w:t>
      </w:r>
      <w:r w:rsidR="008B3651" w:rsidRPr="0071085D">
        <w:rPr>
          <w:lang w:val="en-US"/>
        </w:rPr>
        <w:t xml:space="preserve">igh </w:t>
      </w:r>
      <w:r w:rsidR="000617D6" w:rsidRPr="0071085D">
        <w:rPr>
          <w:lang w:val="en-US"/>
        </w:rPr>
        <w:t xml:space="preserve">scores on </w:t>
      </w:r>
      <w:r w:rsidR="00D76333" w:rsidRPr="0071085D">
        <w:rPr>
          <w:lang w:val="en-US"/>
        </w:rPr>
        <w:t xml:space="preserve">sexual </w:t>
      </w:r>
      <w:r w:rsidR="000617D6" w:rsidRPr="0071085D">
        <w:rPr>
          <w:lang w:val="en-US"/>
        </w:rPr>
        <w:t xml:space="preserve">risk-taking </w:t>
      </w:r>
      <w:proofErr w:type="gramStart"/>
      <w:r w:rsidR="008B3651" w:rsidRPr="0071085D">
        <w:rPr>
          <w:lang w:val="en-US"/>
        </w:rPr>
        <w:t>indicator</w:t>
      </w:r>
      <w:proofErr w:type="gramEnd"/>
      <w:r w:rsidR="000617D6" w:rsidRPr="0071085D">
        <w:rPr>
          <w:lang w:val="en-US"/>
        </w:rPr>
        <w:t xml:space="preserve"> </w:t>
      </w:r>
      <w:r w:rsidR="00842749" w:rsidRPr="0071085D">
        <w:rPr>
          <w:lang w:val="en-US"/>
        </w:rPr>
        <w:t>tended to</w:t>
      </w:r>
      <w:r w:rsidR="000617D6" w:rsidRPr="0071085D">
        <w:rPr>
          <w:lang w:val="en-US"/>
        </w:rPr>
        <w:t xml:space="preserve"> also </w:t>
      </w:r>
      <w:r w:rsidR="00842749" w:rsidRPr="0071085D">
        <w:rPr>
          <w:lang w:val="en-US"/>
        </w:rPr>
        <w:t xml:space="preserve">report high </w:t>
      </w:r>
      <w:r w:rsidR="000617D6" w:rsidRPr="0071085D">
        <w:rPr>
          <w:lang w:val="en-US"/>
        </w:rPr>
        <w:t>score</w:t>
      </w:r>
      <w:r w:rsidR="00A01F6B" w:rsidRPr="0071085D">
        <w:rPr>
          <w:lang w:val="en-US"/>
        </w:rPr>
        <w:t>s</w:t>
      </w:r>
      <w:r w:rsidR="000617D6" w:rsidRPr="0071085D">
        <w:rPr>
          <w:lang w:val="en-US"/>
        </w:rPr>
        <w:t xml:space="preserve"> on </w:t>
      </w:r>
      <w:r w:rsidR="008037B2" w:rsidRPr="0071085D">
        <w:rPr>
          <w:lang w:val="en-US"/>
        </w:rPr>
        <w:t>r</w:t>
      </w:r>
      <w:r w:rsidR="000617D6" w:rsidRPr="0071085D">
        <w:rPr>
          <w:lang w:val="en-US"/>
        </w:rPr>
        <w:t>isk-taking behaviors</w:t>
      </w:r>
      <w:r w:rsidR="00F21ED3" w:rsidRPr="0071085D">
        <w:rPr>
          <w:lang w:val="en-US"/>
        </w:rPr>
        <w:t xml:space="preserve"> related to substance use</w:t>
      </w:r>
      <w:r w:rsidR="000617D6" w:rsidRPr="0071085D">
        <w:rPr>
          <w:lang w:val="en-US"/>
        </w:rPr>
        <w:t xml:space="preserve">. </w:t>
      </w:r>
      <w:r w:rsidR="006C79E8" w:rsidRPr="0071085D">
        <w:rPr>
          <w:lang w:val="en-CA"/>
        </w:rPr>
        <w:t xml:space="preserve">Four </w:t>
      </w:r>
      <w:r w:rsidR="008B3651" w:rsidRPr="0071085D">
        <w:rPr>
          <w:lang w:val="en-CA"/>
        </w:rPr>
        <w:t xml:space="preserve">distinct risk-taking </w:t>
      </w:r>
      <w:r w:rsidR="006C79E8" w:rsidRPr="0071085D">
        <w:rPr>
          <w:lang w:val="en-CA"/>
        </w:rPr>
        <w:t>profiles</w:t>
      </w:r>
      <w:r w:rsidR="008B3651" w:rsidRPr="0071085D">
        <w:rPr>
          <w:lang w:val="en-CA"/>
        </w:rPr>
        <w:t xml:space="preserve"> were </w:t>
      </w:r>
      <w:r w:rsidR="008B3651" w:rsidRPr="0071085D">
        <w:rPr>
          <w:lang w:val="en-CA"/>
        </w:rPr>
        <w:lastRenderedPageBreak/>
        <w:t xml:space="preserve">found. </w:t>
      </w:r>
      <w:r w:rsidR="007E4CEF" w:rsidRPr="0071085D">
        <w:rPr>
          <w:lang w:val="en-CA"/>
        </w:rPr>
        <w:t xml:space="preserve">While most participants fell in the </w:t>
      </w:r>
      <w:r w:rsidR="007E4CEF" w:rsidRPr="0071085D">
        <w:rPr>
          <w:i/>
          <w:lang w:val="en-CA"/>
        </w:rPr>
        <w:t>inactive low-risk</w:t>
      </w:r>
      <w:r w:rsidR="00AF22FC" w:rsidRPr="0071085D">
        <w:rPr>
          <w:lang w:val="en-CA"/>
        </w:rPr>
        <w:t xml:space="preserve"> (14%)</w:t>
      </w:r>
      <w:r w:rsidR="007E4CEF" w:rsidRPr="0071085D">
        <w:rPr>
          <w:lang w:val="en-CA"/>
        </w:rPr>
        <w:t xml:space="preserve">, </w:t>
      </w:r>
      <w:r w:rsidR="007E4CEF" w:rsidRPr="0071085D">
        <w:rPr>
          <w:i/>
          <w:lang w:val="en-CA"/>
        </w:rPr>
        <w:t>active</w:t>
      </w:r>
      <w:r w:rsidR="006979BD" w:rsidRPr="0071085D">
        <w:rPr>
          <w:i/>
          <w:lang w:val="en-CA"/>
        </w:rPr>
        <w:t xml:space="preserve"> </w:t>
      </w:r>
      <w:r w:rsidR="007E4CEF" w:rsidRPr="0071085D">
        <w:rPr>
          <w:i/>
          <w:lang w:val="en-CA"/>
        </w:rPr>
        <w:t>low-risk</w:t>
      </w:r>
      <w:r w:rsidR="007E4CEF" w:rsidRPr="0071085D">
        <w:rPr>
          <w:lang w:val="en-CA"/>
        </w:rPr>
        <w:t xml:space="preserve"> </w:t>
      </w:r>
      <w:r w:rsidR="00AF22FC" w:rsidRPr="0071085D">
        <w:rPr>
          <w:lang w:val="en-CA"/>
        </w:rPr>
        <w:t>(35%) and</w:t>
      </w:r>
      <w:r w:rsidR="007E4CEF" w:rsidRPr="0071085D">
        <w:rPr>
          <w:lang w:val="en-CA"/>
        </w:rPr>
        <w:t xml:space="preserve"> </w:t>
      </w:r>
      <w:r w:rsidR="00AF22FC" w:rsidRPr="0071085D">
        <w:rPr>
          <w:i/>
          <w:lang w:val="en-CA"/>
        </w:rPr>
        <w:t>m</w:t>
      </w:r>
      <w:r w:rsidR="0092168F" w:rsidRPr="0071085D">
        <w:rPr>
          <w:i/>
          <w:lang w:val="en-CA"/>
        </w:rPr>
        <w:t>id</w:t>
      </w:r>
      <w:r w:rsidR="00AF22FC" w:rsidRPr="0071085D">
        <w:rPr>
          <w:i/>
          <w:lang w:val="en-CA"/>
        </w:rPr>
        <w:t>-</w:t>
      </w:r>
      <w:r w:rsidR="007E4CEF" w:rsidRPr="0071085D">
        <w:rPr>
          <w:i/>
          <w:lang w:val="en-CA"/>
        </w:rPr>
        <w:t>risk</w:t>
      </w:r>
      <w:r w:rsidR="007E4CEF" w:rsidRPr="0071085D">
        <w:rPr>
          <w:lang w:val="en-CA"/>
        </w:rPr>
        <w:t xml:space="preserve"> </w:t>
      </w:r>
      <w:r w:rsidR="00AF22FC" w:rsidRPr="0071085D">
        <w:rPr>
          <w:lang w:val="en-CA"/>
        </w:rPr>
        <w:t xml:space="preserve">(42%) </w:t>
      </w:r>
      <w:r w:rsidR="007E4CEF" w:rsidRPr="0071085D">
        <w:rPr>
          <w:lang w:val="en-CA"/>
        </w:rPr>
        <w:t>profiles</w:t>
      </w:r>
      <w:r w:rsidR="00AF22FC" w:rsidRPr="0071085D">
        <w:rPr>
          <w:lang w:val="en-CA"/>
        </w:rPr>
        <w:t xml:space="preserve">, nearly 10% of our sample </w:t>
      </w:r>
      <w:r w:rsidR="0092168F" w:rsidRPr="0071085D">
        <w:rPr>
          <w:lang w:val="en-CA"/>
        </w:rPr>
        <w:t xml:space="preserve">engaged in </w:t>
      </w:r>
      <w:r w:rsidR="0092168F" w:rsidRPr="0071085D">
        <w:rPr>
          <w:i/>
          <w:lang w:val="en-CA"/>
        </w:rPr>
        <w:t xml:space="preserve">high risk </w:t>
      </w:r>
      <w:r w:rsidR="0092168F" w:rsidRPr="0071085D">
        <w:rPr>
          <w:lang w:val="en-CA"/>
        </w:rPr>
        <w:t>sexual and substance use</w:t>
      </w:r>
      <w:r w:rsidR="0092168F" w:rsidRPr="0071085D">
        <w:rPr>
          <w:i/>
          <w:lang w:val="en-CA"/>
        </w:rPr>
        <w:t xml:space="preserve"> </w:t>
      </w:r>
      <w:r w:rsidR="00AF22FC" w:rsidRPr="0071085D">
        <w:rPr>
          <w:lang w:val="en-CA"/>
        </w:rPr>
        <w:t xml:space="preserve">behaviors, a proportion comparable to what </w:t>
      </w:r>
      <w:r w:rsidR="00D55F9B" w:rsidRPr="0071085D">
        <w:rPr>
          <w:lang w:val="en-CA"/>
        </w:rPr>
        <w:t xml:space="preserve">was found in </w:t>
      </w:r>
      <w:r w:rsidR="00AF22FC" w:rsidRPr="0071085D">
        <w:rPr>
          <w:lang w:val="en-CA"/>
        </w:rPr>
        <w:t>similar studies</w:t>
      </w:r>
      <w:r w:rsidR="008B3651" w:rsidRPr="0071085D">
        <w:rPr>
          <w:lang w:val="en-CA"/>
        </w:rPr>
        <w:t xml:space="preserve"> </w:t>
      </w:r>
      <w:r w:rsidR="00AF22FC" w:rsidRPr="0071085D">
        <w:rPr>
          <w:lang w:val="en-CA"/>
        </w:rPr>
        <w:t xml:space="preserve">(Konda et al., 2011; Lim et al., 2015; McCarty-Caplan et al., 2014). </w:t>
      </w:r>
      <w:bookmarkStart w:id="8" w:name="_Hlk514685142"/>
      <w:r w:rsidR="00D55F9B" w:rsidRPr="0071085D">
        <w:rPr>
          <w:lang w:val="en-CA"/>
        </w:rPr>
        <w:t>Individuals</w:t>
      </w:r>
      <w:r w:rsidR="000617D6" w:rsidRPr="0071085D">
        <w:rPr>
          <w:lang w:val="en-CA"/>
        </w:rPr>
        <w:t xml:space="preserve"> </w:t>
      </w:r>
      <w:r w:rsidR="00AF22FC" w:rsidRPr="0071085D">
        <w:rPr>
          <w:lang w:val="en-CA"/>
        </w:rPr>
        <w:t xml:space="preserve">in </w:t>
      </w:r>
      <w:r w:rsidR="000617D6" w:rsidRPr="0071085D">
        <w:rPr>
          <w:lang w:val="en-CA"/>
        </w:rPr>
        <w:t xml:space="preserve">the </w:t>
      </w:r>
      <w:r w:rsidR="00AF22FC" w:rsidRPr="0071085D">
        <w:rPr>
          <w:i/>
          <w:lang w:val="en-CA"/>
        </w:rPr>
        <w:t>high-risk</w:t>
      </w:r>
      <w:r w:rsidR="00AF22FC" w:rsidRPr="0071085D">
        <w:rPr>
          <w:lang w:val="en-CA"/>
        </w:rPr>
        <w:t xml:space="preserve"> group </w:t>
      </w:r>
      <w:r w:rsidR="00AF22FC" w:rsidRPr="0071085D">
        <w:rPr>
          <w:bCs/>
          <w:lang w:val="en-CA"/>
        </w:rPr>
        <w:t xml:space="preserve">had </w:t>
      </w:r>
      <w:r w:rsidR="008956CB" w:rsidRPr="0071085D">
        <w:rPr>
          <w:bCs/>
          <w:lang w:val="en-CA"/>
        </w:rPr>
        <w:t xml:space="preserve">an </w:t>
      </w:r>
      <w:r w:rsidR="00AF22FC" w:rsidRPr="0071085D">
        <w:rPr>
          <w:bCs/>
          <w:lang w:val="en-CA"/>
        </w:rPr>
        <w:t>early sexual onset</w:t>
      </w:r>
      <w:r w:rsidR="00D55F9B" w:rsidRPr="0071085D">
        <w:rPr>
          <w:bCs/>
          <w:lang w:val="en-CA"/>
        </w:rPr>
        <w:t xml:space="preserve"> and</w:t>
      </w:r>
      <w:r w:rsidR="00BF2008" w:rsidRPr="0071085D">
        <w:rPr>
          <w:bCs/>
          <w:lang w:val="en-CA"/>
        </w:rPr>
        <w:t xml:space="preserve"> </w:t>
      </w:r>
      <w:r w:rsidR="00AF22FC" w:rsidRPr="0071085D">
        <w:rPr>
          <w:bCs/>
          <w:lang w:val="en-CA"/>
        </w:rPr>
        <w:t xml:space="preserve">four times </w:t>
      </w:r>
      <w:r w:rsidR="00D55F9B" w:rsidRPr="0071085D">
        <w:rPr>
          <w:bCs/>
          <w:lang w:val="en-CA"/>
        </w:rPr>
        <w:t>more</w:t>
      </w:r>
      <w:r w:rsidR="00AF22FC" w:rsidRPr="0071085D">
        <w:rPr>
          <w:bCs/>
          <w:lang w:val="en-CA"/>
        </w:rPr>
        <w:t xml:space="preserve"> </w:t>
      </w:r>
      <w:r w:rsidR="00D12E54" w:rsidRPr="0071085D">
        <w:rPr>
          <w:bCs/>
          <w:lang w:val="en-CA"/>
        </w:rPr>
        <w:t xml:space="preserve">lifetime sexual partners </w:t>
      </w:r>
      <w:r w:rsidR="00AF22FC" w:rsidRPr="0071085D">
        <w:rPr>
          <w:bCs/>
          <w:lang w:val="en-CA"/>
        </w:rPr>
        <w:t>than</w:t>
      </w:r>
      <w:r w:rsidR="003B7620" w:rsidRPr="0071085D">
        <w:rPr>
          <w:bCs/>
          <w:lang w:val="en-CA"/>
        </w:rPr>
        <w:t xml:space="preserve"> the </w:t>
      </w:r>
      <w:r w:rsidR="00BF7282" w:rsidRPr="0071085D">
        <w:rPr>
          <w:bCs/>
          <w:lang w:val="en-CA"/>
        </w:rPr>
        <w:t xml:space="preserve">individuals </w:t>
      </w:r>
      <w:r w:rsidR="003B7620" w:rsidRPr="0071085D">
        <w:rPr>
          <w:bCs/>
          <w:lang w:val="en-CA"/>
        </w:rPr>
        <w:t xml:space="preserve">in the </w:t>
      </w:r>
      <w:r w:rsidR="003B7620" w:rsidRPr="0071085D">
        <w:rPr>
          <w:bCs/>
          <w:i/>
          <w:lang w:val="en-CA"/>
        </w:rPr>
        <w:t>mid-risk</w:t>
      </w:r>
      <w:r w:rsidR="003B7620" w:rsidRPr="0071085D">
        <w:rPr>
          <w:bCs/>
          <w:lang w:val="en-CA"/>
        </w:rPr>
        <w:t xml:space="preserve"> group</w:t>
      </w:r>
      <w:r w:rsidR="00BF2008" w:rsidRPr="0071085D">
        <w:rPr>
          <w:bCs/>
          <w:lang w:val="en-CA"/>
        </w:rPr>
        <w:t xml:space="preserve"> (M = 10)</w:t>
      </w:r>
      <w:r w:rsidR="000B21B5" w:rsidRPr="0071085D">
        <w:rPr>
          <w:bCs/>
          <w:lang w:val="en-CA"/>
        </w:rPr>
        <w:t>—</w:t>
      </w:r>
      <w:r w:rsidR="001E0965" w:rsidRPr="0071085D">
        <w:rPr>
          <w:bCs/>
          <w:lang w:val="en-CA"/>
        </w:rPr>
        <w:t>a number already above probabilistic estimates for same-aged individuals (Lambert et al., 2017)</w:t>
      </w:r>
      <w:r w:rsidR="009C356C" w:rsidRPr="0071085D">
        <w:rPr>
          <w:bCs/>
          <w:lang w:val="en-CA"/>
        </w:rPr>
        <w:t>—</w:t>
      </w:r>
      <w:r w:rsidR="00A01F6B" w:rsidRPr="0071085D">
        <w:rPr>
          <w:bCs/>
          <w:lang w:val="en-CA"/>
        </w:rPr>
        <w:t xml:space="preserve">, </w:t>
      </w:r>
      <w:r w:rsidR="00BF2008" w:rsidRPr="0071085D">
        <w:rPr>
          <w:bCs/>
          <w:lang w:val="en-CA"/>
        </w:rPr>
        <w:t xml:space="preserve">and </w:t>
      </w:r>
      <w:r w:rsidR="003B7620" w:rsidRPr="0071085D">
        <w:rPr>
          <w:bCs/>
          <w:lang w:val="en-CA"/>
        </w:rPr>
        <w:t>with whom they</w:t>
      </w:r>
      <w:r w:rsidR="003B7620" w:rsidRPr="0071085D">
        <w:rPr>
          <w:lang w:val="en-CA"/>
        </w:rPr>
        <w:t xml:space="preserve"> use</w:t>
      </w:r>
      <w:r w:rsidR="00601620" w:rsidRPr="0071085D">
        <w:rPr>
          <w:lang w:val="en-CA"/>
        </w:rPr>
        <w:t>d</w:t>
      </w:r>
      <w:r w:rsidR="003B7620" w:rsidRPr="0071085D">
        <w:rPr>
          <w:lang w:val="en-CA"/>
        </w:rPr>
        <w:t xml:space="preserve"> condoms </w:t>
      </w:r>
      <w:r w:rsidR="00601620" w:rsidRPr="0071085D">
        <w:rPr>
          <w:lang w:val="en-CA"/>
        </w:rPr>
        <w:t>in</w:t>
      </w:r>
      <w:r w:rsidR="003B7620" w:rsidRPr="0071085D">
        <w:rPr>
          <w:lang w:val="en-CA"/>
        </w:rPr>
        <w:t>consistently</w:t>
      </w:r>
      <w:r w:rsidR="003B7620" w:rsidRPr="0071085D">
        <w:rPr>
          <w:bCs/>
          <w:lang w:val="en-CA"/>
        </w:rPr>
        <w:t>.</w:t>
      </w:r>
      <w:bookmarkEnd w:id="8"/>
      <w:r w:rsidR="003B7620" w:rsidRPr="0071085D">
        <w:rPr>
          <w:bCs/>
          <w:lang w:val="en-CA"/>
        </w:rPr>
        <w:t xml:space="preserve"> </w:t>
      </w:r>
      <w:r w:rsidR="00D55F9B" w:rsidRPr="0071085D">
        <w:rPr>
          <w:lang w:val="en-CA"/>
        </w:rPr>
        <w:t xml:space="preserve">These findings echo </w:t>
      </w:r>
      <w:r w:rsidR="00BF7282" w:rsidRPr="0071085D">
        <w:rPr>
          <w:lang w:val="en-CA"/>
        </w:rPr>
        <w:t xml:space="preserve">those of </w:t>
      </w:r>
      <w:r w:rsidR="00D55F9B" w:rsidRPr="0071085D">
        <w:rPr>
          <w:lang w:val="en-CA"/>
        </w:rPr>
        <w:t xml:space="preserve">Konda </w:t>
      </w:r>
      <w:r w:rsidR="001E0965" w:rsidRPr="0071085D">
        <w:rPr>
          <w:lang w:val="en-CA"/>
        </w:rPr>
        <w:t xml:space="preserve">et al. </w:t>
      </w:r>
      <w:r w:rsidR="00D55F9B" w:rsidRPr="0071085D">
        <w:rPr>
          <w:lang w:val="en-CA"/>
        </w:rPr>
        <w:t xml:space="preserve">(2011) </w:t>
      </w:r>
      <w:r w:rsidR="00BF7282" w:rsidRPr="0071085D">
        <w:rPr>
          <w:lang w:val="en-CA"/>
        </w:rPr>
        <w:t xml:space="preserve">in which </w:t>
      </w:r>
      <w:r w:rsidR="00D55F9B" w:rsidRPr="0071085D">
        <w:rPr>
          <w:lang w:val="en-CA"/>
        </w:rPr>
        <w:t xml:space="preserve">participants in their two (out of four) high-risk groups had the most sex partners and unprotected sex. Participants in our </w:t>
      </w:r>
      <w:r w:rsidR="00D55F9B" w:rsidRPr="0071085D">
        <w:rPr>
          <w:i/>
          <w:lang w:val="en-CA"/>
        </w:rPr>
        <w:t>high-risk</w:t>
      </w:r>
      <w:r w:rsidR="00D55F9B" w:rsidRPr="0071085D">
        <w:rPr>
          <w:lang w:val="en-CA"/>
        </w:rPr>
        <w:t xml:space="preserve"> group also had experienced more </w:t>
      </w:r>
      <w:r w:rsidR="005A3BFC" w:rsidRPr="0071085D">
        <w:rPr>
          <w:lang w:val="en-CA"/>
        </w:rPr>
        <w:t xml:space="preserve">unconventional sexual behaviors </w:t>
      </w:r>
      <w:r w:rsidR="00D55F9B" w:rsidRPr="0071085D">
        <w:rPr>
          <w:lang w:val="en-CA"/>
        </w:rPr>
        <w:t xml:space="preserve">and reported the most </w:t>
      </w:r>
      <w:r w:rsidR="00FC09A0" w:rsidRPr="0071085D">
        <w:rPr>
          <w:lang w:val="en-CA"/>
        </w:rPr>
        <w:t>binge drinking</w:t>
      </w:r>
      <w:r w:rsidR="00D55F9B" w:rsidRPr="0071085D">
        <w:rPr>
          <w:lang w:val="en-CA"/>
        </w:rPr>
        <w:t xml:space="preserve"> </w:t>
      </w:r>
      <w:r w:rsidR="00D12E54" w:rsidRPr="0071085D">
        <w:rPr>
          <w:lang w:val="en-CA"/>
        </w:rPr>
        <w:t xml:space="preserve">episodes </w:t>
      </w:r>
      <w:r w:rsidR="00D55F9B" w:rsidRPr="0071085D">
        <w:rPr>
          <w:lang w:val="en-CA"/>
        </w:rPr>
        <w:t xml:space="preserve">and the highest number of </w:t>
      </w:r>
      <w:r w:rsidR="00D12E54" w:rsidRPr="0071085D">
        <w:rPr>
          <w:lang w:val="en-CA"/>
        </w:rPr>
        <w:t xml:space="preserve">consumed </w:t>
      </w:r>
      <w:r w:rsidR="007E6B2A" w:rsidRPr="0071085D">
        <w:rPr>
          <w:lang w:val="en-CA"/>
        </w:rPr>
        <w:t>substances</w:t>
      </w:r>
      <w:r w:rsidR="00D55F9B" w:rsidRPr="0071085D">
        <w:rPr>
          <w:lang w:val="en-CA"/>
        </w:rPr>
        <w:t>.</w:t>
      </w:r>
      <w:r w:rsidR="00BF7282" w:rsidRPr="0071085D">
        <w:rPr>
          <w:lang w:val="en-CA"/>
        </w:rPr>
        <w:t xml:space="preserve"> </w:t>
      </w:r>
    </w:p>
    <w:p w14:paraId="5EA9131D" w14:textId="642FA6E0" w:rsidR="00821159" w:rsidRPr="0071085D" w:rsidRDefault="00391631" w:rsidP="004235CF">
      <w:pPr>
        <w:pStyle w:val="NormalWeb"/>
        <w:widowControl w:val="0"/>
        <w:spacing w:before="0" w:beforeAutospacing="0" w:after="0" w:afterAutospacing="0" w:line="480" w:lineRule="auto"/>
        <w:ind w:firstLine="709"/>
        <w:rPr>
          <w:lang w:val="en-US"/>
        </w:rPr>
      </w:pPr>
      <w:r w:rsidRPr="0071085D">
        <w:rPr>
          <w:lang w:val="en-CA"/>
        </w:rPr>
        <w:t>Th</w:t>
      </w:r>
      <w:r w:rsidR="00C41491" w:rsidRPr="0071085D">
        <w:rPr>
          <w:lang w:val="en-CA"/>
        </w:rPr>
        <w:t>is</w:t>
      </w:r>
      <w:r w:rsidR="00D71D7F" w:rsidRPr="0071085D">
        <w:rPr>
          <w:lang w:val="en-CA"/>
        </w:rPr>
        <w:t xml:space="preserve"> </w:t>
      </w:r>
      <w:r w:rsidR="00C41491" w:rsidRPr="0071085D">
        <w:rPr>
          <w:lang w:val="en-CA"/>
        </w:rPr>
        <w:t>study’s</w:t>
      </w:r>
      <w:r w:rsidR="00D71D7F" w:rsidRPr="0071085D">
        <w:rPr>
          <w:lang w:val="en-CA"/>
        </w:rPr>
        <w:t xml:space="preserve"> second objective was to examine whether sociodemographic and individual characteristics predict</w:t>
      </w:r>
      <w:r w:rsidR="00C41491" w:rsidRPr="0071085D">
        <w:rPr>
          <w:lang w:val="en-CA"/>
        </w:rPr>
        <w:t>ed</w:t>
      </w:r>
      <w:r w:rsidR="00D71D7F" w:rsidRPr="0071085D">
        <w:rPr>
          <w:lang w:val="en-CA"/>
        </w:rPr>
        <w:t xml:space="preserve"> risk-taking profiles; as such,</w:t>
      </w:r>
      <w:r w:rsidR="00133EB2" w:rsidRPr="0071085D">
        <w:rPr>
          <w:lang w:val="en-CA"/>
        </w:rPr>
        <w:t xml:space="preserve"> we found that each profile had distinctive features. </w:t>
      </w:r>
      <w:r w:rsidR="00C41491" w:rsidRPr="0071085D">
        <w:rPr>
          <w:bCs/>
          <w:lang w:val="en-CA"/>
        </w:rPr>
        <w:t xml:space="preserve">the females in our sample </w:t>
      </w:r>
      <w:r w:rsidR="00821159" w:rsidRPr="0071085D">
        <w:rPr>
          <w:bCs/>
          <w:lang w:val="en-CA"/>
        </w:rPr>
        <w:t xml:space="preserve">were more likely to belong to the two </w:t>
      </w:r>
      <w:r w:rsidR="00821159" w:rsidRPr="0071085D">
        <w:rPr>
          <w:lang w:val="en-CA"/>
        </w:rPr>
        <w:t>high-risk</w:t>
      </w:r>
      <w:r w:rsidR="00821159" w:rsidRPr="0071085D">
        <w:rPr>
          <w:bCs/>
          <w:lang w:val="en-CA"/>
        </w:rPr>
        <w:t xml:space="preserve"> groups, and males</w:t>
      </w:r>
      <w:r w:rsidR="00220AE4" w:rsidRPr="0071085D">
        <w:rPr>
          <w:bCs/>
          <w:lang w:val="en-CA"/>
        </w:rPr>
        <w:t>,</w:t>
      </w:r>
      <w:r w:rsidR="00821159" w:rsidRPr="0071085D">
        <w:rPr>
          <w:bCs/>
          <w:lang w:val="en-CA"/>
        </w:rPr>
        <w:t xml:space="preserve"> </w:t>
      </w:r>
      <w:r w:rsidR="00821159" w:rsidRPr="0071085D">
        <w:rPr>
          <w:color w:val="000000"/>
          <w:lang w:val="en-CA"/>
        </w:rPr>
        <w:t xml:space="preserve">to the two low-risk groups. This divergence may be attributable to sampling differences in terms of </w:t>
      </w:r>
      <w:r w:rsidR="005F4FC0" w:rsidRPr="0071085D">
        <w:rPr>
          <w:color w:val="000000"/>
          <w:lang w:val="en-CA"/>
        </w:rPr>
        <w:t xml:space="preserve">age </w:t>
      </w:r>
      <w:r w:rsidR="00821159" w:rsidRPr="0071085D">
        <w:rPr>
          <w:color w:val="000000"/>
          <w:lang w:val="en-CA"/>
        </w:rPr>
        <w:t>cohorts (i.e., emerging adults versus adolescents aged 15 to 18)</w:t>
      </w:r>
      <w:r w:rsidR="005F4887" w:rsidRPr="0071085D">
        <w:rPr>
          <w:color w:val="000000"/>
          <w:lang w:val="en-CA"/>
        </w:rPr>
        <w:t>,</w:t>
      </w:r>
      <w:r w:rsidR="00821159" w:rsidRPr="0071085D">
        <w:rPr>
          <w:color w:val="000000"/>
          <w:lang w:val="en-CA"/>
        </w:rPr>
        <w:t xml:space="preserve"> nationality</w:t>
      </w:r>
      <w:r w:rsidR="00A01F6B" w:rsidRPr="0071085D">
        <w:rPr>
          <w:color w:val="000000"/>
          <w:lang w:val="en-CA"/>
        </w:rPr>
        <w:t xml:space="preserve"> and </w:t>
      </w:r>
      <w:r w:rsidR="00821159" w:rsidRPr="0071085D">
        <w:rPr>
          <w:color w:val="000000"/>
          <w:lang w:val="en-CA"/>
        </w:rPr>
        <w:t xml:space="preserve">racial background (i.e., </w:t>
      </w:r>
      <w:r w:rsidR="005F4FC0" w:rsidRPr="0071085D">
        <w:rPr>
          <w:color w:val="000000"/>
          <w:lang w:val="en-CA"/>
        </w:rPr>
        <w:t xml:space="preserve">mostly Caucasian </w:t>
      </w:r>
      <w:r w:rsidR="00821159" w:rsidRPr="0071085D">
        <w:rPr>
          <w:color w:val="000000"/>
          <w:lang w:val="en-CA"/>
        </w:rPr>
        <w:t>French-Canadian versus African American)</w:t>
      </w:r>
      <w:r w:rsidR="005F4887" w:rsidRPr="0071085D">
        <w:rPr>
          <w:color w:val="000000"/>
          <w:lang w:val="en-CA"/>
        </w:rPr>
        <w:t xml:space="preserve"> and gender (i.e., 50% versus 84% of females</w:t>
      </w:r>
      <w:r w:rsidR="004235CF" w:rsidRPr="0071085D">
        <w:rPr>
          <w:color w:val="000000"/>
          <w:lang w:val="en-CA"/>
        </w:rPr>
        <w:t>)</w:t>
      </w:r>
      <w:r w:rsidR="00821159" w:rsidRPr="0071085D">
        <w:rPr>
          <w:color w:val="000000"/>
          <w:lang w:val="en-CA"/>
        </w:rPr>
        <w:t xml:space="preserve">. Nevertheless, </w:t>
      </w:r>
      <w:r w:rsidR="00821159" w:rsidRPr="0071085D">
        <w:rPr>
          <w:bCs/>
          <w:lang w:val="en-CA"/>
        </w:rPr>
        <w:t>t</w:t>
      </w:r>
      <w:r w:rsidR="00821159" w:rsidRPr="0071085D">
        <w:rPr>
          <w:color w:val="000000"/>
          <w:lang w:val="en-CA"/>
        </w:rPr>
        <w:t xml:space="preserve">he overrepresentation of males in our </w:t>
      </w:r>
      <w:r w:rsidR="00821159" w:rsidRPr="0071085D">
        <w:rPr>
          <w:i/>
          <w:color w:val="000000"/>
          <w:lang w:val="en-CA"/>
        </w:rPr>
        <w:t>inactive low-risk</w:t>
      </w:r>
      <w:r w:rsidR="00821159" w:rsidRPr="0071085D">
        <w:rPr>
          <w:color w:val="000000"/>
          <w:lang w:val="en-CA"/>
        </w:rPr>
        <w:t xml:space="preserve"> group is consistent with </w:t>
      </w:r>
      <w:r w:rsidR="005F4FC0" w:rsidRPr="0071085D">
        <w:rPr>
          <w:color w:val="000000"/>
          <w:lang w:val="en-CA"/>
        </w:rPr>
        <w:t xml:space="preserve">the adulthood virginity </w:t>
      </w:r>
      <w:r w:rsidR="00821159" w:rsidRPr="0071085D">
        <w:rPr>
          <w:color w:val="000000"/>
          <w:lang w:val="en-CA"/>
        </w:rPr>
        <w:t>literature</w:t>
      </w:r>
      <w:r w:rsidR="005F4FC0" w:rsidRPr="0071085D">
        <w:rPr>
          <w:color w:val="000000"/>
          <w:lang w:val="en-CA"/>
        </w:rPr>
        <w:t>,</w:t>
      </w:r>
      <w:r w:rsidR="00821159" w:rsidRPr="0071085D">
        <w:rPr>
          <w:color w:val="000000"/>
          <w:lang w:val="en-CA"/>
        </w:rPr>
        <w:t xml:space="preserve"> showing that males are more likely than females to remain virgin beyond adolescence (</w:t>
      </w:r>
      <w:r w:rsidR="001D0078" w:rsidRPr="0071085D">
        <w:rPr>
          <w:i/>
          <w:color w:val="000000"/>
          <w:lang w:val="en-CA"/>
        </w:rPr>
        <w:t xml:space="preserve">blinded for </w:t>
      </w:r>
      <w:r w:rsidR="007E6B2A" w:rsidRPr="0071085D">
        <w:rPr>
          <w:i/>
          <w:color w:val="000000"/>
          <w:lang w:val="en-CA"/>
        </w:rPr>
        <w:t>review</w:t>
      </w:r>
      <w:r w:rsidR="00821159" w:rsidRPr="0071085D">
        <w:rPr>
          <w:color w:val="000000"/>
          <w:lang w:val="en-CA"/>
        </w:rPr>
        <w:t xml:space="preserve">; </w:t>
      </w:r>
      <w:r w:rsidR="00821159" w:rsidRPr="0071085D">
        <w:rPr>
          <w:lang w:val="en-CA"/>
        </w:rPr>
        <w:t>Eisenberg et al., 2009</w:t>
      </w:r>
      <w:r w:rsidR="00821159" w:rsidRPr="0071085D">
        <w:rPr>
          <w:color w:val="000000"/>
          <w:lang w:val="en-CA"/>
        </w:rPr>
        <w:t xml:space="preserve">). The higher likelihood </w:t>
      </w:r>
      <w:r w:rsidR="005F4FC0" w:rsidRPr="0071085D">
        <w:rPr>
          <w:color w:val="000000"/>
          <w:lang w:val="en-CA"/>
        </w:rPr>
        <w:t xml:space="preserve">of </w:t>
      </w:r>
      <w:r w:rsidR="00821159" w:rsidRPr="0071085D">
        <w:rPr>
          <w:color w:val="000000"/>
          <w:lang w:val="en-CA"/>
        </w:rPr>
        <w:t>o</w:t>
      </w:r>
      <w:r w:rsidR="007469F1" w:rsidRPr="0071085D">
        <w:rPr>
          <w:color w:val="000000"/>
          <w:lang w:val="en-CA"/>
        </w:rPr>
        <w:t>ur</w:t>
      </w:r>
      <w:r w:rsidR="00821159" w:rsidRPr="0071085D">
        <w:rPr>
          <w:color w:val="000000"/>
          <w:lang w:val="en-CA"/>
        </w:rPr>
        <w:t xml:space="preserve"> female participants </w:t>
      </w:r>
      <w:r w:rsidR="005F4FC0" w:rsidRPr="0071085D">
        <w:rPr>
          <w:color w:val="000000"/>
          <w:lang w:val="en-CA"/>
        </w:rPr>
        <w:t xml:space="preserve">to </w:t>
      </w:r>
      <w:r w:rsidR="00821159" w:rsidRPr="0071085D">
        <w:rPr>
          <w:color w:val="000000"/>
          <w:lang w:val="en-CA"/>
        </w:rPr>
        <w:t xml:space="preserve">belong to the </w:t>
      </w:r>
      <w:r w:rsidR="00821159" w:rsidRPr="0071085D">
        <w:rPr>
          <w:i/>
          <w:color w:val="000000"/>
          <w:lang w:val="en-CA"/>
        </w:rPr>
        <w:t>mid-</w:t>
      </w:r>
      <w:r w:rsidR="00821159" w:rsidRPr="0071085D">
        <w:rPr>
          <w:color w:val="000000"/>
          <w:lang w:val="en-CA"/>
        </w:rPr>
        <w:t xml:space="preserve"> and </w:t>
      </w:r>
      <w:r w:rsidR="00821159" w:rsidRPr="0071085D">
        <w:rPr>
          <w:i/>
          <w:color w:val="000000"/>
          <w:lang w:val="en-CA"/>
        </w:rPr>
        <w:t xml:space="preserve">high-risk </w:t>
      </w:r>
      <w:r w:rsidR="00821159" w:rsidRPr="0071085D">
        <w:rPr>
          <w:color w:val="000000"/>
          <w:lang w:val="en-CA"/>
        </w:rPr>
        <w:t>groups</w:t>
      </w:r>
      <w:r w:rsidR="00821159" w:rsidRPr="0071085D">
        <w:rPr>
          <w:i/>
          <w:color w:val="000000"/>
          <w:lang w:val="en-CA"/>
        </w:rPr>
        <w:t xml:space="preserve"> </w:t>
      </w:r>
      <w:r w:rsidR="00821159" w:rsidRPr="0071085D">
        <w:rPr>
          <w:color w:val="000000"/>
          <w:lang w:val="en-CA"/>
        </w:rPr>
        <w:t xml:space="preserve">may </w:t>
      </w:r>
      <w:r w:rsidR="007469F1" w:rsidRPr="0071085D">
        <w:rPr>
          <w:color w:val="000000"/>
          <w:lang w:val="en-CA"/>
        </w:rPr>
        <w:t>be interpreted in various way</w:t>
      </w:r>
      <w:r w:rsidR="00A01F6B" w:rsidRPr="0071085D">
        <w:rPr>
          <w:color w:val="000000"/>
          <w:lang w:val="en-CA"/>
        </w:rPr>
        <w:t>s</w:t>
      </w:r>
      <w:r w:rsidR="007469F1" w:rsidRPr="0071085D">
        <w:rPr>
          <w:color w:val="000000"/>
          <w:lang w:val="en-CA"/>
        </w:rPr>
        <w:t xml:space="preserve">. It could reflect a weaker </w:t>
      </w:r>
      <w:r w:rsidR="00821159" w:rsidRPr="0071085D">
        <w:rPr>
          <w:lang w:val="en-CA"/>
        </w:rPr>
        <w:t xml:space="preserve">double sexual standard </w:t>
      </w:r>
      <w:r w:rsidR="00081B18" w:rsidRPr="0071085D">
        <w:rPr>
          <w:lang w:val="en-CA"/>
        </w:rPr>
        <w:t xml:space="preserve">through </w:t>
      </w:r>
      <w:r w:rsidR="007469F1" w:rsidRPr="0071085D">
        <w:rPr>
          <w:lang w:val="en-CA"/>
        </w:rPr>
        <w:t>high</w:t>
      </w:r>
      <w:r w:rsidR="005F4FC0" w:rsidRPr="0071085D">
        <w:rPr>
          <w:lang w:val="en-CA"/>
        </w:rPr>
        <w:t>er</w:t>
      </w:r>
      <w:r w:rsidR="007469F1" w:rsidRPr="0071085D">
        <w:rPr>
          <w:lang w:val="en-CA"/>
        </w:rPr>
        <w:t xml:space="preserve"> </w:t>
      </w:r>
      <w:r w:rsidR="00821159" w:rsidRPr="0071085D">
        <w:rPr>
          <w:lang w:val="en-CA"/>
        </w:rPr>
        <w:t>female sexual agency</w:t>
      </w:r>
      <w:r w:rsidR="007469F1" w:rsidRPr="0071085D">
        <w:rPr>
          <w:lang w:val="en-CA"/>
        </w:rPr>
        <w:t xml:space="preserve"> and </w:t>
      </w:r>
      <w:r w:rsidR="00821159" w:rsidRPr="0071085D">
        <w:rPr>
          <w:lang w:val="en-CA"/>
        </w:rPr>
        <w:t xml:space="preserve">social acceptance of </w:t>
      </w:r>
      <w:r w:rsidR="005F4FC0" w:rsidRPr="0071085D">
        <w:rPr>
          <w:lang w:val="en-CA"/>
        </w:rPr>
        <w:t xml:space="preserve">female </w:t>
      </w:r>
      <w:r w:rsidR="00821159" w:rsidRPr="0071085D">
        <w:rPr>
          <w:lang w:val="en-CA"/>
        </w:rPr>
        <w:t>sex</w:t>
      </w:r>
      <w:r w:rsidR="005F4FC0" w:rsidRPr="0071085D">
        <w:rPr>
          <w:lang w:val="en-CA"/>
        </w:rPr>
        <w:t>uality</w:t>
      </w:r>
      <w:r w:rsidR="00821159" w:rsidRPr="0071085D">
        <w:rPr>
          <w:lang w:val="en-CA"/>
        </w:rPr>
        <w:t xml:space="preserve"> </w:t>
      </w:r>
      <w:r w:rsidR="007469F1" w:rsidRPr="0071085D">
        <w:rPr>
          <w:lang w:val="en-CA"/>
        </w:rPr>
        <w:t>in French-</w:t>
      </w:r>
      <w:r w:rsidR="007469F1" w:rsidRPr="0071085D">
        <w:rPr>
          <w:lang w:val="en-CA"/>
        </w:rPr>
        <w:lastRenderedPageBreak/>
        <w:t xml:space="preserve">Canadian culture. Alternatively, it may indicate that women have </w:t>
      </w:r>
      <w:r w:rsidR="00821159" w:rsidRPr="0071085D">
        <w:rPr>
          <w:lang w:val="en-CA"/>
        </w:rPr>
        <w:t xml:space="preserve">easier access to potential sexual partners than </w:t>
      </w:r>
      <w:r w:rsidR="00776CA7" w:rsidRPr="0071085D">
        <w:rPr>
          <w:lang w:val="en-CA"/>
        </w:rPr>
        <w:t>men</w:t>
      </w:r>
      <w:r w:rsidR="007469F1" w:rsidRPr="0071085D">
        <w:rPr>
          <w:lang w:val="en-CA"/>
        </w:rPr>
        <w:t xml:space="preserve">. Sex </w:t>
      </w:r>
      <w:r w:rsidR="00776CA7" w:rsidRPr="0071085D">
        <w:rPr>
          <w:lang w:val="en-CA"/>
        </w:rPr>
        <w:t xml:space="preserve">might </w:t>
      </w:r>
      <w:r w:rsidR="007469F1" w:rsidRPr="0071085D">
        <w:rPr>
          <w:lang w:val="en-CA"/>
        </w:rPr>
        <w:t xml:space="preserve">also </w:t>
      </w:r>
      <w:r w:rsidR="007469F1" w:rsidRPr="0071085D">
        <w:rPr>
          <w:lang w:val="en-US"/>
        </w:rPr>
        <w:t xml:space="preserve">serve </w:t>
      </w:r>
      <w:r w:rsidR="00776CA7" w:rsidRPr="0071085D">
        <w:rPr>
          <w:lang w:val="en-US"/>
        </w:rPr>
        <w:t xml:space="preserve">young women </w:t>
      </w:r>
      <w:r w:rsidR="007469F1" w:rsidRPr="0071085D">
        <w:rPr>
          <w:lang w:val="en-US"/>
        </w:rPr>
        <w:t xml:space="preserve">instrumentally </w:t>
      </w:r>
      <w:r w:rsidR="005F4FC0" w:rsidRPr="0071085D">
        <w:rPr>
          <w:lang w:val="en-US"/>
        </w:rPr>
        <w:t>as it can</w:t>
      </w:r>
      <w:r w:rsidR="00A01F6B" w:rsidRPr="0071085D">
        <w:rPr>
          <w:lang w:val="en-US"/>
        </w:rPr>
        <w:t xml:space="preserve"> help</w:t>
      </w:r>
      <w:r w:rsidR="005F4FC0" w:rsidRPr="0071085D">
        <w:rPr>
          <w:lang w:val="en-US"/>
        </w:rPr>
        <w:t xml:space="preserve"> ensure access and proximity to </w:t>
      </w:r>
      <w:r w:rsidR="005A3BFC" w:rsidRPr="0071085D">
        <w:rPr>
          <w:lang w:val="en-US"/>
        </w:rPr>
        <w:t>substances</w:t>
      </w:r>
      <w:r w:rsidR="00821159" w:rsidRPr="0071085D">
        <w:rPr>
          <w:lang w:val="en-US"/>
        </w:rPr>
        <w:t xml:space="preserve"> and</w:t>
      </w:r>
      <w:r w:rsidR="005A3BFC" w:rsidRPr="0071085D">
        <w:rPr>
          <w:lang w:val="en-US"/>
        </w:rPr>
        <w:t xml:space="preserve"> to</w:t>
      </w:r>
      <w:r w:rsidR="00821159" w:rsidRPr="0071085D">
        <w:rPr>
          <w:lang w:val="en-US"/>
        </w:rPr>
        <w:t xml:space="preserve"> party settings</w:t>
      </w:r>
      <w:r w:rsidR="00081B18" w:rsidRPr="0071085D">
        <w:rPr>
          <w:lang w:val="en-US"/>
        </w:rPr>
        <w:t>, especially for those en</w:t>
      </w:r>
      <w:r w:rsidR="00344E96" w:rsidRPr="0071085D">
        <w:rPr>
          <w:lang w:val="en-US"/>
        </w:rPr>
        <w:t>snar</w:t>
      </w:r>
      <w:r w:rsidR="00081B18" w:rsidRPr="0071085D">
        <w:rPr>
          <w:lang w:val="en-US"/>
        </w:rPr>
        <w:t>ed in the addiction spiral. However, f</w:t>
      </w:r>
      <w:r w:rsidR="007469F1" w:rsidRPr="0071085D">
        <w:rPr>
          <w:lang w:val="en-US"/>
        </w:rPr>
        <w:t xml:space="preserve">uture research is needed to </w:t>
      </w:r>
      <w:r w:rsidR="00081B18" w:rsidRPr="0071085D">
        <w:rPr>
          <w:lang w:val="en-US"/>
        </w:rPr>
        <w:t xml:space="preserve">verify </w:t>
      </w:r>
      <w:r w:rsidR="007469F1" w:rsidRPr="0071085D">
        <w:rPr>
          <w:lang w:val="en-US"/>
        </w:rPr>
        <w:t>these hypotheses.</w:t>
      </w:r>
    </w:p>
    <w:p w14:paraId="13C72F02" w14:textId="4D5DC6A0" w:rsidR="001D0078" w:rsidRPr="0071085D" w:rsidRDefault="008859E2" w:rsidP="004235CF">
      <w:pPr>
        <w:pStyle w:val="NormalWeb"/>
        <w:widowControl w:val="0"/>
        <w:spacing w:before="0" w:beforeAutospacing="0" w:after="0" w:afterAutospacing="0" w:line="480" w:lineRule="auto"/>
        <w:ind w:firstLine="709"/>
        <w:contextualSpacing/>
        <w:rPr>
          <w:bCs/>
          <w:lang w:val="en-CA"/>
        </w:rPr>
      </w:pPr>
      <w:r w:rsidRPr="0071085D">
        <w:rPr>
          <w:bCs/>
          <w:lang w:val="en-CA"/>
        </w:rPr>
        <w:t>A</w:t>
      </w:r>
      <w:r w:rsidR="00A347C7" w:rsidRPr="0071085D">
        <w:rPr>
          <w:bCs/>
          <w:lang w:val="en-CA"/>
        </w:rPr>
        <w:t>mong the four individual characteristics examined, impulsive sensation-seeking was the only salient characteristic significantly distinguishing each profile from one another</w:t>
      </w:r>
      <w:r w:rsidR="003324C0" w:rsidRPr="0071085D">
        <w:rPr>
          <w:bCs/>
          <w:lang w:val="en-CA"/>
        </w:rPr>
        <w:t xml:space="preserve"> in the final multivariate model</w:t>
      </w:r>
      <w:r w:rsidR="00A347C7" w:rsidRPr="0071085D">
        <w:rPr>
          <w:bCs/>
          <w:lang w:val="en-CA"/>
        </w:rPr>
        <w:t xml:space="preserve">. </w:t>
      </w:r>
      <w:r w:rsidR="00D71D7F" w:rsidRPr="0071085D">
        <w:rPr>
          <w:lang w:val="en-CA"/>
        </w:rPr>
        <w:t xml:space="preserve">The hypothesis that participants in the </w:t>
      </w:r>
      <w:r w:rsidR="00D71D7F" w:rsidRPr="0071085D">
        <w:rPr>
          <w:i/>
          <w:lang w:val="en-CA"/>
        </w:rPr>
        <w:t>high-risk</w:t>
      </w:r>
      <w:r w:rsidR="00D71D7F" w:rsidRPr="0071085D">
        <w:rPr>
          <w:lang w:val="en-CA"/>
        </w:rPr>
        <w:t xml:space="preserve"> profile would score lower </w:t>
      </w:r>
      <w:r w:rsidR="00A347C7" w:rsidRPr="0071085D">
        <w:rPr>
          <w:lang w:val="en-CA"/>
        </w:rPr>
        <w:t xml:space="preserve">than </w:t>
      </w:r>
      <w:r w:rsidR="003324C0" w:rsidRPr="0071085D">
        <w:rPr>
          <w:lang w:val="en-CA"/>
        </w:rPr>
        <w:t>others</w:t>
      </w:r>
      <w:r w:rsidR="00A347C7" w:rsidRPr="0071085D">
        <w:rPr>
          <w:lang w:val="en-CA"/>
        </w:rPr>
        <w:t xml:space="preserve"> </w:t>
      </w:r>
      <w:r w:rsidR="00D71D7F" w:rsidRPr="0071085D">
        <w:rPr>
          <w:lang w:val="en-CA"/>
        </w:rPr>
        <w:t>on life satisfaction and self-esteem was not confirmed by our data</w:t>
      </w:r>
      <w:r w:rsidR="003324C0" w:rsidRPr="0071085D">
        <w:rPr>
          <w:lang w:val="en-CA"/>
        </w:rPr>
        <w:t xml:space="preserve">, possibly because </w:t>
      </w:r>
      <w:r w:rsidR="00D71D7F" w:rsidRPr="0071085D">
        <w:rPr>
          <w:lang w:val="en-CA"/>
        </w:rPr>
        <w:t xml:space="preserve">our </w:t>
      </w:r>
      <w:r w:rsidR="00357D74" w:rsidRPr="0071085D">
        <w:rPr>
          <w:lang w:val="en-CA"/>
        </w:rPr>
        <w:t>sample</w:t>
      </w:r>
      <w:r w:rsidR="00F32788" w:rsidRPr="0071085D">
        <w:rPr>
          <w:lang w:val="en-CA"/>
        </w:rPr>
        <w:t xml:space="preserve"> w</w:t>
      </w:r>
      <w:r w:rsidR="00357D74" w:rsidRPr="0071085D">
        <w:rPr>
          <w:lang w:val="en-CA"/>
        </w:rPr>
        <w:t>as</w:t>
      </w:r>
      <w:r w:rsidR="00F32788" w:rsidRPr="0071085D">
        <w:rPr>
          <w:lang w:val="en-CA"/>
        </w:rPr>
        <w:t xml:space="preserve"> highly homogeneous on these</w:t>
      </w:r>
      <w:r w:rsidR="00D71D7F" w:rsidRPr="0071085D">
        <w:rPr>
          <w:lang w:val="en-CA"/>
        </w:rPr>
        <w:t xml:space="preserve"> </w:t>
      </w:r>
      <w:r w:rsidR="003324C0" w:rsidRPr="0071085D">
        <w:rPr>
          <w:lang w:val="en-CA"/>
        </w:rPr>
        <w:t xml:space="preserve">two </w:t>
      </w:r>
      <w:r w:rsidR="00D71D7F" w:rsidRPr="0071085D">
        <w:rPr>
          <w:lang w:val="en-CA"/>
        </w:rPr>
        <w:t>variable</w:t>
      </w:r>
      <w:r w:rsidR="00F32788" w:rsidRPr="0071085D">
        <w:rPr>
          <w:lang w:val="en-CA"/>
        </w:rPr>
        <w:t>s</w:t>
      </w:r>
      <w:r w:rsidR="00D71D7F" w:rsidRPr="0071085D">
        <w:rPr>
          <w:lang w:val="en-CA"/>
        </w:rPr>
        <w:t xml:space="preserve">. </w:t>
      </w:r>
      <w:r w:rsidR="001D0078" w:rsidRPr="0071085D">
        <w:rPr>
          <w:lang w:val="en-CA"/>
        </w:rPr>
        <w:t xml:space="preserve">Yet, an alternative explication to high </w:t>
      </w:r>
      <w:r w:rsidR="001D0078" w:rsidRPr="0071085D">
        <w:rPr>
          <w:bCs/>
          <w:lang w:val="en-CA"/>
        </w:rPr>
        <w:t xml:space="preserve">impulsive sensation-seeking as a salient predictor of high risk-taking may be popularity and social status. </w:t>
      </w:r>
      <w:r w:rsidR="00FB4295" w:rsidRPr="0071085D">
        <w:rPr>
          <w:bCs/>
          <w:lang w:val="en-CA"/>
        </w:rPr>
        <w:t xml:space="preserve">Consistent with </w:t>
      </w:r>
      <w:r w:rsidR="00FB4295" w:rsidRPr="0071085D">
        <w:rPr>
          <w:lang w:val="en-CA"/>
        </w:rPr>
        <w:t xml:space="preserve">other </w:t>
      </w:r>
      <w:r w:rsidR="00AC0B30" w:rsidRPr="0071085D">
        <w:rPr>
          <w:lang w:val="en-CA"/>
        </w:rPr>
        <w:t xml:space="preserve">study’s </w:t>
      </w:r>
      <w:r w:rsidR="00FB4295" w:rsidRPr="0071085D">
        <w:rPr>
          <w:lang w:val="en-CA"/>
        </w:rPr>
        <w:t xml:space="preserve">findings </w:t>
      </w:r>
      <w:r w:rsidR="00AC0B30" w:rsidRPr="0071085D">
        <w:rPr>
          <w:lang w:val="en-CA"/>
        </w:rPr>
        <w:t>suggesting</w:t>
      </w:r>
      <w:r w:rsidR="00FB4295" w:rsidRPr="0071085D">
        <w:rPr>
          <w:lang w:val="en-CA"/>
        </w:rPr>
        <w:t xml:space="preserve"> that social withdrawal in childhood was prospectively associated with delayed sexual onset in emerging adulthood (</w:t>
      </w:r>
      <w:r w:rsidR="00FB4295" w:rsidRPr="0071085D">
        <w:rPr>
          <w:i/>
          <w:lang w:val="en-CA"/>
        </w:rPr>
        <w:t>blinded for review</w:t>
      </w:r>
      <w:r w:rsidR="00FB4295" w:rsidRPr="0071085D">
        <w:rPr>
          <w:lang w:val="en-CA"/>
        </w:rPr>
        <w:t>), i</w:t>
      </w:r>
      <w:r w:rsidR="001D0078" w:rsidRPr="0071085D">
        <w:rPr>
          <w:bCs/>
          <w:lang w:val="en-CA"/>
        </w:rPr>
        <w:t>t is plausible that s</w:t>
      </w:r>
      <w:r w:rsidR="001D0078" w:rsidRPr="0071085D">
        <w:rPr>
          <w:lang w:val="en-CA"/>
        </w:rPr>
        <w:t xml:space="preserve">ociosexual opportunities are </w:t>
      </w:r>
      <w:r w:rsidR="00AC0B30" w:rsidRPr="0071085D">
        <w:rPr>
          <w:lang w:val="en-CA"/>
        </w:rPr>
        <w:t xml:space="preserve">more numerous </w:t>
      </w:r>
      <w:r w:rsidR="001D0078" w:rsidRPr="0071085D">
        <w:rPr>
          <w:lang w:val="en-CA"/>
        </w:rPr>
        <w:t xml:space="preserve">among </w:t>
      </w:r>
      <w:r w:rsidR="00AC0B30" w:rsidRPr="0071085D">
        <w:rPr>
          <w:lang w:val="en-CA"/>
        </w:rPr>
        <w:t>socially skilled</w:t>
      </w:r>
      <w:r w:rsidR="001D0078" w:rsidRPr="0071085D">
        <w:rPr>
          <w:lang w:val="en-CA"/>
        </w:rPr>
        <w:t xml:space="preserve"> youth</w:t>
      </w:r>
      <w:r w:rsidR="008037B2" w:rsidRPr="0071085D">
        <w:rPr>
          <w:lang w:val="en-CA"/>
        </w:rPr>
        <w:t xml:space="preserve">. Socially skilled individuals are often </w:t>
      </w:r>
      <w:r w:rsidR="001D0078" w:rsidRPr="0071085D">
        <w:rPr>
          <w:lang w:val="en-CA"/>
        </w:rPr>
        <w:t xml:space="preserve">integrated in large peer groups, </w:t>
      </w:r>
      <w:r w:rsidR="008037B2" w:rsidRPr="0071085D">
        <w:rPr>
          <w:lang w:val="en-CA"/>
        </w:rPr>
        <w:t xml:space="preserve">in which </w:t>
      </w:r>
      <w:r w:rsidR="001D0078" w:rsidRPr="0071085D">
        <w:rPr>
          <w:lang w:val="en-CA"/>
        </w:rPr>
        <w:t>high number</w:t>
      </w:r>
      <w:r w:rsidR="00344E96" w:rsidRPr="0071085D">
        <w:rPr>
          <w:lang w:val="en-CA"/>
        </w:rPr>
        <w:t>s</w:t>
      </w:r>
      <w:r w:rsidR="001D0078" w:rsidRPr="0071085D">
        <w:rPr>
          <w:lang w:val="en-CA"/>
        </w:rPr>
        <w:t xml:space="preserve"> of sexual partners and </w:t>
      </w:r>
      <w:r w:rsidR="00AC0B30" w:rsidRPr="0071085D">
        <w:rPr>
          <w:lang w:val="en-CA"/>
        </w:rPr>
        <w:t xml:space="preserve">experimenting with </w:t>
      </w:r>
      <w:r w:rsidR="001D0078" w:rsidRPr="0071085D">
        <w:rPr>
          <w:lang w:val="en-CA"/>
        </w:rPr>
        <w:t>substance use may reflect popular</w:t>
      </w:r>
      <w:r w:rsidR="00AC0B30" w:rsidRPr="0071085D">
        <w:rPr>
          <w:lang w:val="en-CA"/>
        </w:rPr>
        <w:t>ity</w:t>
      </w:r>
      <w:r w:rsidR="00344E96" w:rsidRPr="0071085D">
        <w:rPr>
          <w:lang w:val="en-CA"/>
        </w:rPr>
        <w:t>, especially if these behaviors are normative among their peer group.</w:t>
      </w:r>
      <w:r w:rsidR="001D0078" w:rsidRPr="0071085D">
        <w:rPr>
          <w:lang w:val="en-CA"/>
        </w:rPr>
        <w:t xml:space="preserve"> </w:t>
      </w:r>
      <w:r w:rsidR="00AC0B30" w:rsidRPr="0071085D">
        <w:rPr>
          <w:lang w:val="en-CA"/>
        </w:rPr>
        <w:t xml:space="preserve">However, </w:t>
      </w:r>
      <w:r w:rsidR="001D0078" w:rsidRPr="0071085D">
        <w:rPr>
          <w:lang w:val="en-CA"/>
        </w:rPr>
        <w:t>this hypothesis could not be tested with our data</w:t>
      </w:r>
      <w:r w:rsidR="00AC0B30" w:rsidRPr="0071085D">
        <w:rPr>
          <w:lang w:val="en-CA"/>
        </w:rPr>
        <w:t>.</w:t>
      </w:r>
      <w:r w:rsidR="001D0078" w:rsidRPr="0071085D">
        <w:rPr>
          <w:lang w:val="en-CA"/>
        </w:rPr>
        <w:t xml:space="preserve"> </w:t>
      </w:r>
    </w:p>
    <w:p w14:paraId="16374E47" w14:textId="6B8D8727" w:rsidR="00133EB2" w:rsidRPr="0071085D" w:rsidRDefault="00A26A0A" w:rsidP="004235CF">
      <w:pPr>
        <w:widowControl w:val="0"/>
        <w:autoSpaceDE w:val="0"/>
        <w:autoSpaceDN w:val="0"/>
        <w:adjustRightInd w:val="0"/>
        <w:spacing w:after="0" w:line="480" w:lineRule="auto"/>
        <w:ind w:firstLine="708"/>
        <w:rPr>
          <w:lang w:val="en-CA"/>
        </w:rPr>
      </w:pPr>
      <w:r w:rsidRPr="0071085D">
        <w:rPr>
          <w:lang w:val="en-CA"/>
        </w:rPr>
        <w:t>Our third objective was to assess whether risk-taking profiles predict</w:t>
      </w:r>
      <w:r w:rsidR="00A347C7" w:rsidRPr="0071085D">
        <w:rPr>
          <w:lang w:val="en-CA"/>
        </w:rPr>
        <w:t>ed</w:t>
      </w:r>
      <w:r w:rsidRPr="0071085D">
        <w:rPr>
          <w:lang w:val="en-CA"/>
        </w:rPr>
        <w:t xml:space="preserve"> health outcomes. We found that</w:t>
      </w:r>
      <w:r w:rsidR="004E4BE9" w:rsidRPr="0071085D">
        <w:rPr>
          <w:lang w:val="en-CA"/>
        </w:rPr>
        <w:t>, among sexually active participants,</w:t>
      </w:r>
      <w:r w:rsidRPr="0071085D">
        <w:rPr>
          <w:lang w:val="en-CA"/>
        </w:rPr>
        <w:t xml:space="preserve"> </w:t>
      </w:r>
      <w:r w:rsidR="004E4BE9" w:rsidRPr="0071085D">
        <w:rPr>
          <w:rStyle w:val="NotedebasdepageCar"/>
          <w:rFonts w:eastAsia="Times"/>
          <w:sz w:val="24"/>
          <w:szCs w:val="24"/>
          <w:lang w:val="en-CA"/>
        </w:rPr>
        <w:t>those</w:t>
      </w:r>
      <w:r w:rsidRPr="0071085D">
        <w:rPr>
          <w:rStyle w:val="NotedebasdepageCar"/>
          <w:rFonts w:eastAsia="Times"/>
          <w:sz w:val="24"/>
          <w:szCs w:val="24"/>
          <w:lang w:val="en-CA"/>
        </w:rPr>
        <w:t xml:space="preserve"> in the </w:t>
      </w:r>
      <w:r w:rsidRPr="0071085D">
        <w:rPr>
          <w:i/>
          <w:color w:val="000000"/>
          <w:lang w:val="en-CA"/>
        </w:rPr>
        <w:t>active low-risk</w:t>
      </w:r>
      <w:r w:rsidRPr="0071085D">
        <w:rPr>
          <w:color w:val="000000"/>
          <w:lang w:val="en-CA"/>
        </w:rPr>
        <w:t xml:space="preserve"> profile were less likely to have been screened for STI</w:t>
      </w:r>
      <w:r w:rsidR="00E41A0E" w:rsidRPr="0071085D">
        <w:rPr>
          <w:color w:val="000000"/>
          <w:lang w:val="en-CA"/>
        </w:rPr>
        <w:t>s</w:t>
      </w:r>
      <w:r w:rsidR="00990B60" w:rsidRPr="0071085D">
        <w:rPr>
          <w:color w:val="000000"/>
          <w:lang w:val="en-CA"/>
        </w:rPr>
        <w:t xml:space="preserve"> </w:t>
      </w:r>
      <w:r w:rsidRPr="0071085D">
        <w:rPr>
          <w:color w:val="000000"/>
          <w:lang w:val="en-CA"/>
        </w:rPr>
        <w:t xml:space="preserve">and to have substance use problems compared </w:t>
      </w:r>
      <w:r w:rsidR="00E41A0E" w:rsidRPr="0071085D">
        <w:rPr>
          <w:color w:val="000000"/>
          <w:lang w:val="en-CA"/>
        </w:rPr>
        <w:t>to</w:t>
      </w:r>
      <w:r w:rsidRPr="0071085D">
        <w:rPr>
          <w:color w:val="000000"/>
          <w:lang w:val="en-CA"/>
        </w:rPr>
        <w:t xml:space="preserve"> </w:t>
      </w:r>
      <w:r w:rsidRPr="0071085D">
        <w:rPr>
          <w:i/>
          <w:color w:val="000000"/>
          <w:lang w:val="en-CA"/>
        </w:rPr>
        <w:t>mid-</w:t>
      </w:r>
      <w:r w:rsidRPr="0071085D">
        <w:rPr>
          <w:color w:val="000000"/>
          <w:lang w:val="en-CA"/>
        </w:rPr>
        <w:t xml:space="preserve"> and </w:t>
      </w:r>
      <w:r w:rsidRPr="0071085D">
        <w:rPr>
          <w:i/>
          <w:color w:val="000000"/>
          <w:lang w:val="en-CA"/>
        </w:rPr>
        <w:t>high-risk</w:t>
      </w:r>
      <w:r w:rsidRPr="0071085D">
        <w:rPr>
          <w:color w:val="000000"/>
          <w:lang w:val="en-CA"/>
        </w:rPr>
        <w:t xml:space="preserve"> takers. </w:t>
      </w:r>
      <w:r w:rsidR="00990B60" w:rsidRPr="0071085D">
        <w:rPr>
          <w:color w:val="000000"/>
          <w:lang w:val="en-CA"/>
        </w:rPr>
        <w:t xml:space="preserve">They were also less likely than </w:t>
      </w:r>
      <w:r w:rsidR="00990B60" w:rsidRPr="0071085D">
        <w:rPr>
          <w:i/>
          <w:color w:val="000000"/>
          <w:lang w:val="en-CA"/>
        </w:rPr>
        <w:t xml:space="preserve">high-risk </w:t>
      </w:r>
      <w:r w:rsidR="00E41A0E" w:rsidRPr="0071085D">
        <w:rPr>
          <w:color w:val="000000"/>
          <w:lang w:val="en-CA"/>
        </w:rPr>
        <w:t xml:space="preserve">participants </w:t>
      </w:r>
      <w:r w:rsidR="00990B60" w:rsidRPr="0071085D">
        <w:rPr>
          <w:color w:val="000000"/>
          <w:lang w:val="en-CA"/>
        </w:rPr>
        <w:t>to report a</w:t>
      </w:r>
      <w:r w:rsidR="00E41A0E" w:rsidRPr="0071085D">
        <w:rPr>
          <w:color w:val="000000"/>
          <w:lang w:val="en-CA"/>
        </w:rPr>
        <w:t>n</w:t>
      </w:r>
      <w:r w:rsidR="00990B60" w:rsidRPr="0071085D">
        <w:rPr>
          <w:color w:val="000000"/>
          <w:lang w:val="en-CA"/>
        </w:rPr>
        <w:t xml:space="preserve"> STI diagnosis</w:t>
      </w:r>
      <w:r w:rsidR="00990B60" w:rsidRPr="0071085D">
        <w:rPr>
          <w:i/>
          <w:color w:val="000000"/>
          <w:lang w:val="en-CA"/>
        </w:rPr>
        <w:t xml:space="preserve">. </w:t>
      </w:r>
      <w:r w:rsidRPr="0071085D">
        <w:rPr>
          <w:i/>
          <w:color w:val="000000"/>
          <w:lang w:val="en-CA"/>
        </w:rPr>
        <w:t>Mid-risk</w:t>
      </w:r>
      <w:r w:rsidRPr="0071085D">
        <w:rPr>
          <w:color w:val="000000"/>
          <w:lang w:val="en-CA"/>
        </w:rPr>
        <w:t xml:space="preserve"> takers were more likely than </w:t>
      </w:r>
      <w:r w:rsidRPr="0071085D">
        <w:rPr>
          <w:i/>
          <w:color w:val="000000"/>
          <w:lang w:val="en-CA"/>
        </w:rPr>
        <w:t>active low-risk</w:t>
      </w:r>
      <w:r w:rsidRPr="0071085D">
        <w:rPr>
          <w:color w:val="000000"/>
          <w:lang w:val="en-CA"/>
        </w:rPr>
        <w:t xml:space="preserve"> takers</w:t>
      </w:r>
      <w:r w:rsidR="00F15141" w:rsidRPr="0071085D">
        <w:rPr>
          <w:color w:val="000000"/>
          <w:lang w:val="en-CA"/>
        </w:rPr>
        <w:t>,</w:t>
      </w:r>
      <w:r w:rsidRPr="0071085D">
        <w:rPr>
          <w:color w:val="000000"/>
          <w:lang w:val="en-CA"/>
        </w:rPr>
        <w:t xml:space="preserve"> </w:t>
      </w:r>
      <w:r w:rsidR="007513C1" w:rsidRPr="0071085D">
        <w:rPr>
          <w:color w:val="000000"/>
          <w:lang w:val="en-CA"/>
        </w:rPr>
        <w:t xml:space="preserve">but </w:t>
      </w:r>
      <w:r w:rsidR="004E4BE9" w:rsidRPr="0071085D">
        <w:rPr>
          <w:color w:val="000000"/>
          <w:lang w:val="en-CA"/>
        </w:rPr>
        <w:t xml:space="preserve">less likely than </w:t>
      </w:r>
      <w:r w:rsidR="004E4BE9" w:rsidRPr="0071085D">
        <w:rPr>
          <w:i/>
          <w:color w:val="000000"/>
          <w:lang w:val="en-CA"/>
        </w:rPr>
        <w:t>high-risk</w:t>
      </w:r>
      <w:r w:rsidR="004E4BE9" w:rsidRPr="0071085D">
        <w:rPr>
          <w:color w:val="000000"/>
          <w:lang w:val="en-CA"/>
        </w:rPr>
        <w:t xml:space="preserve"> takers</w:t>
      </w:r>
      <w:r w:rsidR="00F15141" w:rsidRPr="0071085D">
        <w:rPr>
          <w:color w:val="000000"/>
          <w:lang w:val="en-CA"/>
        </w:rPr>
        <w:t xml:space="preserve">, </w:t>
      </w:r>
      <w:r w:rsidRPr="0071085D">
        <w:rPr>
          <w:color w:val="000000"/>
          <w:lang w:val="en-CA"/>
        </w:rPr>
        <w:t xml:space="preserve">to declare having been screened for </w:t>
      </w:r>
      <w:r w:rsidR="00F15141" w:rsidRPr="0071085D">
        <w:rPr>
          <w:color w:val="000000"/>
          <w:lang w:val="en-CA"/>
        </w:rPr>
        <w:t xml:space="preserve">an </w:t>
      </w:r>
      <w:r w:rsidRPr="0071085D">
        <w:rPr>
          <w:color w:val="000000"/>
          <w:lang w:val="en-CA"/>
        </w:rPr>
        <w:t xml:space="preserve">STI. They were also more likely than both </w:t>
      </w:r>
      <w:r w:rsidRPr="0071085D">
        <w:rPr>
          <w:i/>
          <w:color w:val="000000"/>
          <w:lang w:val="en-CA"/>
        </w:rPr>
        <w:t>low-risk</w:t>
      </w:r>
      <w:r w:rsidRPr="0071085D">
        <w:rPr>
          <w:color w:val="000000"/>
          <w:lang w:val="en-CA"/>
        </w:rPr>
        <w:t xml:space="preserve"> </w:t>
      </w:r>
      <w:r w:rsidR="00F15141" w:rsidRPr="0071085D">
        <w:rPr>
          <w:color w:val="000000"/>
          <w:lang w:val="en-CA"/>
        </w:rPr>
        <w:lastRenderedPageBreak/>
        <w:t xml:space="preserve">participants </w:t>
      </w:r>
      <w:r w:rsidRPr="0071085D">
        <w:rPr>
          <w:color w:val="000000"/>
          <w:lang w:val="en-CA"/>
        </w:rPr>
        <w:t xml:space="preserve">to have high substance use problems. </w:t>
      </w:r>
      <w:r w:rsidRPr="0071085D">
        <w:rPr>
          <w:bCs/>
          <w:lang w:val="en-CA"/>
        </w:rPr>
        <w:t>Consistent with the reviewed literature</w:t>
      </w:r>
      <w:r w:rsidR="00180045" w:rsidRPr="0071085D">
        <w:rPr>
          <w:bCs/>
          <w:lang w:val="en-CA"/>
        </w:rPr>
        <w:t xml:space="preserve">, </w:t>
      </w:r>
      <w:r w:rsidR="00081B18" w:rsidRPr="0071085D">
        <w:rPr>
          <w:lang w:val="en-CA"/>
        </w:rPr>
        <w:t xml:space="preserve">high sexual risk-taking continues to be associated with high STI diagnosis probabilities, and </w:t>
      </w:r>
      <w:r w:rsidR="00180045" w:rsidRPr="0071085D">
        <w:rPr>
          <w:bCs/>
          <w:lang w:val="en-CA"/>
        </w:rPr>
        <w:t xml:space="preserve">individuals in the </w:t>
      </w:r>
      <w:r w:rsidR="00180045" w:rsidRPr="0071085D">
        <w:rPr>
          <w:bCs/>
          <w:i/>
          <w:lang w:val="en-CA"/>
        </w:rPr>
        <w:t>high-risk</w:t>
      </w:r>
      <w:r w:rsidR="00180045" w:rsidRPr="0071085D">
        <w:rPr>
          <w:bCs/>
          <w:lang w:val="en-CA"/>
        </w:rPr>
        <w:t xml:space="preserve"> profile experienced</w:t>
      </w:r>
      <w:r w:rsidRPr="0071085D">
        <w:rPr>
          <w:bCs/>
          <w:lang w:val="en-CA"/>
        </w:rPr>
        <w:t xml:space="preserve"> the most health </w:t>
      </w:r>
      <w:r w:rsidR="00180045" w:rsidRPr="0071085D">
        <w:rPr>
          <w:bCs/>
          <w:lang w:val="en-CA"/>
        </w:rPr>
        <w:t>problems</w:t>
      </w:r>
      <w:r w:rsidRPr="0071085D">
        <w:rPr>
          <w:bCs/>
          <w:lang w:val="en-CA"/>
        </w:rPr>
        <w:t xml:space="preserve"> </w:t>
      </w:r>
      <w:r w:rsidR="00F15141" w:rsidRPr="0071085D">
        <w:rPr>
          <w:bCs/>
          <w:lang w:val="en-CA"/>
        </w:rPr>
        <w:t>compared to</w:t>
      </w:r>
      <w:r w:rsidRPr="0071085D">
        <w:rPr>
          <w:bCs/>
          <w:lang w:val="en-CA"/>
        </w:rPr>
        <w:t xml:space="preserve"> all </w:t>
      </w:r>
      <w:r w:rsidR="00F15141" w:rsidRPr="0071085D">
        <w:rPr>
          <w:bCs/>
          <w:lang w:val="en-CA"/>
        </w:rPr>
        <w:t xml:space="preserve">other </w:t>
      </w:r>
      <w:r w:rsidRPr="0071085D">
        <w:rPr>
          <w:bCs/>
          <w:lang w:val="en-CA"/>
        </w:rPr>
        <w:t>groups</w:t>
      </w:r>
      <w:r w:rsidR="00180045" w:rsidRPr="0071085D">
        <w:rPr>
          <w:color w:val="000000"/>
          <w:lang w:val="en-CA"/>
        </w:rPr>
        <w:t>.</w:t>
      </w:r>
      <w:r w:rsidR="00900396" w:rsidRPr="0071085D">
        <w:rPr>
          <w:lang w:val="en-CA"/>
        </w:rPr>
        <w:t xml:space="preserve"> </w:t>
      </w:r>
      <w:r w:rsidR="0068559D" w:rsidRPr="0071085D">
        <w:rPr>
          <w:lang w:val="en-CA"/>
        </w:rPr>
        <w:t xml:space="preserve">Overall, these results reiterate that </w:t>
      </w:r>
      <w:r w:rsidR="00C42A55" w:rsidRPr="0071085D">
        <w:rPr>
          <w:lang w:val="en-CA"/>
        </w:rPr>
        <w:t>engag</w:t>
      </w:r>
      <w:r w:rsidR="00F15141" w:rsidRPr="0071085D">
        <w:rPr>
          <w:lang w:val="en-CA"/>
        </w:rPr>
        <w:t>ing</w:t>
      </w:r>
      <w:r w:rsidR="00C42A55" w:rsidRPr="0071085D">
        <w:rPr>
          <w:lang w:val="en-CA"/>
        </w:rPr>
        <w:t xml:space="preserve"> in a</w:t>
      </w:r>
      <w:r w:rsidR="0068559D" w:rsidRPr="0071085D">
        <w:rPr>
          <w:lang w:val="en-CA"/>
        </w:rPr>
        <w:t xml:space="preserve"> diversity of risk-taking behaviors is closely linked to the likelihood of </w:t>
      </w:r>
      <w:r w:rsidR="00F15141" w:rsidRPr="0071085D">
        <w:rPr>
          <w:lang w:val="en-CA"/>
        </w:rPr>
        <w:t>experiencing several</w:t>
      </w:r>
      <w:r w:rsidR="00C42A55" w:rsidRPr="0071085D">
        <w:rPr>
          <w:lang w:val="en-CA"/>
        </w:rPr>
        <w:t xml:space="preserve"> </w:t>
      </w:r>
      <w:r w:rsidR="0068559D" w:rsidRPr="0071085D">
        <w:rPr>
          <w:lang w:val="en-CA"/>
        </w:rPr>
        <w:t>health</w:t>
      </w:r>
      <w:r w:rsidR="00F15141" w:rsidRPr="0071085D">
        <w:rPr>
          <w:lang w:val="en-CA"/>
        </w:rPr>
        <w:t>-related</w:t>
      </w:r>
      <w:r w:rsidR="0068559D" w:rsidRPr="0071085D">
        <w:rPr>
          <w:lang w:val="en-CA"/>
        </w:rPr>
        <w:t xml:space="preserve"> problems.</w:t>
      </w:r>
    </w:p>
    <w:p w14:paraId="26C91C1F" w14:textId="600FB8D9" w:rsidR="00912E9A" w:rsidRPr="0071085D" w:rsidRDefault="00912E9A" w:rsidP="004235CF">
      <w:pPr>
        <w:pStyle w:val="NormalWeb"/>
        <w:widowControl w:val="0"/>
        <w:spacing w:before="0" w:beforeAutospacing="0" w:after="0" w:afterAutospacing="0" w:line="480" w:lineRule="auto"/>
        <w:contextualSpacing/>
        <w:rPr>
          <w:b/>
          <w:lang w:val="en-CA"/>
        </w:rPr>
      </w:pPr>
      <w:r w:rsidRPr="0071085D">
        <w:rPr>
          <w:b/>
          <w:lang w:val="en-CA"/>
        </w:rPr>
        <w:t xml:space="preserve">Study </w:t>
      </w:r>
      <w:r w:rsidR="00003B35" w:rsidRPr="0071085D">
        <w:rPr>
          <w:b/>
          <w:lang w:val="en-CA"/>
        </w:rPr>
        <w:t xml:space="preserve">Strengths, </w:t>
      </w:r>
      <w:r w:rsidRPr="0071085D">
        <w:rPr>
          <w:b/>
          <w:lang w:val="en-CA"/>
        </w:rPr>
        <w:t xml:space="preserve">Limitations and Future Research </w:t>
      </w:r>
    </w:p>
    <w:p w14:paraId="3CD8C3AB" w14:textId="2199C710" w:rsidR="00A468FF" w:rsidRPr="0071085D" w:rsidRDefault="00912E9A" w:rsidP="004235CF">
      <w:pPr>
        <w:pStyle w:val="Commentaire"/>
        <w:widowControl w:val="0"/>
        <w:spacing w:after="0" w:line="480" w:lineRule="auto"/>
        <w:ind w:firstLine="709"/>
        <w:contextualSpacing/>
        <w:rPr>
          <w:sz w:val="24"/>
          <w:szCs w:val="24"/>
          <w:lang w:val="en-CA"/>
        </w:rPr>
      </w:pPr>
      <w:r w:rsidRPr="0071085D">
        <w:rPr>
          <w:sz w:val="24"/>
          <w:szCs w:val="24"/>
          <w:lang w:val="en-CA"/>
        </w:rPr>
        <w:t>The generaliza</w:t>
      </w:r>
      <w:r w:rsidR="00321D2B" w:rsidRPr="0071085D">
        <w:rPr>
          <w:sz w:val="24"/>
          <w:szCs w:val="24"/>
          <w:lang w:val="en-CA"/>
        </w:rPr>
        <w:t>bility</w:t>
      </w:r>
      <w:r w:rsidRPr="0071085D">
        <w:rPr>
          <w:sz w:val="24"/>
          <w:szCs w:val="24"/>
          <w:lang w:val="en-CA"/>
        </w:rPr>
        <w:t xml:space="preserve"> of these findings is limited </w:t>
      </w:r>
      <w:r w:rsidR="006533B6" w:rsidRPr="0071085D">
        <w:rPr>
          <w:sz w:val="24"/>
          <w:szCs w:val="24"/>
          <w:lang w:val="en-CA"/>
        </w:rPr>
        <w:t xml:space="preserve">due to </w:t>
      </w:r>
      <w:r w:rsidR="002D1DED" w:rsidRPr="0071085D">
        <w:rPr>
          <w:sz w:val="24"/>
          <w:szCs w:val="24"/>
          <w:lang w:val="en-CA"/>
        </w:rPr>
        <w:t>the single method cross-sectional study design</w:t>
      </w:r>
      <w:r w:rsidR="003B21C3" w:rsidRPr="0071085D">
        <w:rPr>
          <w:sz w:val="24"/>
          <w:szCs w:val="24"/>
          <w:lang w:val="en-CA"/>
        </w:rPr>
        <w:t xml:space="preserve"> and single-informant self-reported data (B</w:t>
      </w:r>
      <w:r w:rsidR="006533B6" w:rsidRPr="0071085D">
        <w:rPr>
          <w:sz w:val="24"/>
          <w:szCs w:val="24"/>
          <w:lang w:val="en-CA"/>
        </w:rPr>
        <w:t>oislard &amp; Poulin, 2014</w:t>
      </w:r>
      <w:r w:rsidRPr="0071085D">
        <w:rPr>
          <w:sz w:val="24"/>
          <w:szCs w:val="24"/>
          <w:lang w:val="en-CA"/>
        </w:rPr>
        <w:t xml:space="preserve">). </w:t>
      </w:r>
      <w:r w:rsidR="00920649" w:rsidRPr="0071085D">
        <w:rPr>
          <w:sz w:val="24"/>
          <w:szCs w:val="24"/>
          <w:lang w:val="en-CA"/>
        </w:rPr>
        <w:t xml:space="preserve">Another limitation is the lack of information </w:t>
      </w:r>
      <w:r w:rsidR="003B21C3" w:rsidRPr="0071085D">
        <w:rPr>
          <w:sz w:val="24"/>
          <w:szCs w:val="24"/>
          <w:lang w:val="en-CA"/>
        </w:rPr>
        <w:t>on</w:t>
      </w:r>
      <w:r w:rsidR="00920649" w:rsidRPr="0071085D">
        <w:rPr>
          <w:sz w:val="24"/>
          <w:szCs w:val="24"/>
          <w:lang w:val="en-CA"/>
        </w:rPr>
        <w:t xml:space="preserve"> participants’ history of sexual assault, </w:t>
      </w:r>
      <w:r w:rsidR="003B21C3" w:rsidRPr="0071085D">
        <w:rPr>
          <w:sz w:val="24"/>
          <w:szCs w:val="24"/>
          <w:lang w:val="en-CA"/>
        </w:rPr>
        <w:t xml:space="preserve">which may be </w:t>
      </w:r>
      <w:r w:rsidR="00321D2B" w:rsidRPr="0071085D">
        <w:rPr>
          <w:sz w:val="24"/>
          <w:szCs w:val="24"/>
          <w:lang w:val="en-CA"/>
        </w:rPr>
        <w:t xml:space="preserve">a predictive </w:t>
      </w:r>
      <w:r w:rsidR="003B21C3" w:rsidRPr="0071085D">
        <w:rPr>
          <w:sz w:val="24"/>
          <w:szCs w:val="24"/>
          <w:lang w:val="en-CA"/>
        </w:rPr>
        <w:t xml:space="preserve">factor </w:t>
      </w:r>
      <w:r w:rsidR="00321D2B" w:rsidRPr="0071085D">
        <w:rPr>
          <w:sz w:val="24"/>
          <w:szCs w:val="24"/>
          <w:lang w:val="en-CA"/>
        </w:rPr>
        <w:t xml:space="preserve">of </w:t>
      </w:r>
      <w:r w:rsidR="003B21C3" w:rsidRPr="0071085D">
        <w:rPr>
          <w:sz w:val="24"/>
          <w:szCs w:val="24"/>
          <w:lang w:val="en-CA"/>
        </w:rPr>
        <w:t xml:space="preserve">high risk-taking and the greater prevalence of females in the higher-risk groups. The assessment of participants’ history of sexual assault would have also provided the opportunity to examine whether the sexual </w:t>
      </w:r>
      <w:r w:rsidR="00A1487B" w:rsidRPr="0071085D">
        <w:rPr>
          <w:sz w:val="24"/>
          <w:szCs w:val="24"/>
          <w:lang w:val="en-CA"/>
        </w:rPr>
        <w:t xml:space="preserve">inactivity </w:t>
      </w:r>
      <w:r w:rsidR="003B21C3" w:rsidRPr="0071085D">
        <w:rPr>
          <w:sz w:val="24"/>
          <w:szCs w:val="24"/>
          <w:lang w:val="en-CA"/>
        </w:rPr>
        <w:t xml:space="preserve">in the sexually inactive group </w:t>
      </w:r>
      <w:r w:rsidR="00B70212" w:rsidRPr="0071085D">
        <w:rPr>
          <w:sz w:val="24"/>
          <w:szCs w:val="24"/>
          <w:lang w:val="en-CA"/>
        </w:rPr>
        <w:t xml:space="preserve">was linked to previous </w:t>
      </w:r>
      <w:r w:rsidR="003B21C3" w:rsidRPr="0071085D">
        <w:rPr>
          <w:sz w:val="24"/>
          <w:szCs w:val="24"/>
          <w:lang w:val="en-CA"/>
        </w:rPr>
        <w:t>sexual assault.</w:t>
      </w:r>
      <w:r w:rsidR="00920649" w:rsidRPr="0071085D">
        <w:rPr>
          <w:sz w:val="24"/>
          <w:szCs w:val="24"/>
          <w:lang w:val="en-CA"/>
        </w:rPr>
        <w:t xml:space="preserve"> </w:t>
      </w:r>
      <w:r w:rsidR="00B70212" w:rsidRPr="0071085D">
        <w:rPr>
          <w:sz w:val="24"/>
          <w:szCs w:val="24"/>
          <w:lang w:val="en-CA"/>
        </w:rPr>
        <w:t xml:space="preserve">In addition, despite </w:t>
      </w:r>
      <w:r w:rsidR="00321D2B" w:rsidRPr="0071085D">
        <w:rPr>
          <w:sz w:val="24"/>
          <w:szCs w:val="24"/>
          <w:lang w:val="en-CA"/>
        </w:rPr>
        <w:t>having</w:t>
      </w:r>
      <w:r w:rsidR="00B70212" w:rsidRPr="0071085D">
        <w:rPr>
          <w:sz w:val="24"/>
          <w:szCs w:val="24"/>
          <w:lang w:val="en-CA"/>
        </w:rPr>
        <w:t xml:space="preserve"> recruit</w:t>
      </w:r>
      <w:r w:rsidR="00321D2B" w:rsidRPr="0071085D">
        <w:rPr>
          <w:sz w:val="24"/>
          <w:szCs w:val="24"/>
          <w:lang w:val="en-CA"/>
        </w:rPr>
        <w:t>ed</w:t>
      </w:r>
      <w:r w:rsidR="00B70212" w:rsidRPr="0071085D">
        <w:rPr>
          <w:sz w:val="24"/>
          <w:szCs w:val="24"/>
          <w:lang w:val="en-CA"/>
        </w:rPr>
        <w:t xml:space="preserve"> participants in various settings, o</w:t>
      </w:r>
      <w:r w:rsidR="0024196E" w:rsidRPr="0071085D">
        <w:rPr>
          <w:sz w:val="24"/>
          <w:szCs w:val="24"/>
          <w:lang w:val="en-CA"/>
        </w:rPr>
        <w:t xml:space="preserve">ur </w:t>
      </w:r>
      <w:bookmarkStart w:id="9" w:name="_Hlk488135341"/>
      <w:r w:rsidR="0024196E" w:rsidRPr="0071085D">
        <w:rPr>
          <w:sz w:val="24"/>
          <w:szCs w:val="24"/>
          <w:lang w:val="en-CA"/>
        </w:rPr>
        <w:t xml:space="preserve">sample </w:t>
      </w:r>
      <w:r w:rsidR="003B21C3" w:rsidRPr="0071085D">
        <w:rPr>
          <w:sz w:val="24"/>
          <w:szCs w:val="24"/>
          <w:lang w:val="en-CA"/>
        </w:rPr>
        <w:t xml:space="preserve">was quite homogeneous with regards to </w:t>
      </w:r>
      <w:r w:rsidR="00A4212A" w:rsidRPr="0071085D">
        <w:rPr>
          <w:sz w:val="24"/>
          <w:szCs w:val="24"/>
          <w:lang w:val="en-CA"/>
        </w:rPr>
        <w:t>n</w:t>
      </w:r>
      <w:r w:rsidR="003B21C3" w:rsidRPr="0071085D">
        <w:rPr>
          <w:sz w:val="24"/>
          <w:szCs w:val="24"/>
          <w:lang w:val="en-CA"/>
        </w:rPr>
        <w:t xml:space="preserve">ative </w:t>
      </w:r>
      <w:r w:rsidR="00321D2B" w:rsidRPr="0071085D">
        <w:rPr>
          <w:sz w:val="24"/>
          <w:szCs w:val="24"/>
          <w:lang w:val="en-CA"/>
        </w:rPr>
        <w:t>l</w:t>
      </w:r>
      <w:r w:rsidR="003B21C3" w:rsidRPr="0071085D">
        <w:rPr>
          <w:sz w:val="24"/>
          <w:szCs w:val="24"/>
          <w:lang w:val="en-CA"/>
        </w:rPr>
        <w:t xml:space="preserve">anguage, country of birth, sex (i.e., overrepresentation of women), and education (i.e., mostly </w:t>
      </w:r>
      <w:r w:rsidR="008037B2" w:rsidRPr="0071085D">
        <w:rPr>
          <w:sz w:val="24"/>
          <w:szCs w:val="24"/>
          <w:lang w:val="en-CA"/>
        </w:rPr>
        <w:t>post-secondary</w:t>
      </w:r>
      <w:r w:rsidR="00B70212" w:rsidRPr="0071085D">
        <w:rPr>
          <w:sz w:val="24"/>
          <w:szCs w:val="24"/>
          <w:lang w:val="en-CA"/>
        </w:rPr>
        <w:t>)</w:t>
      </w:r>
      <w:r w:rsidR="00321D2B" w:rsidRPr="0071085D">
        <w:rPr>
          <w:sz w:val="24"/>
          <w:szCs w:val="24"/>
          <w:lang w:val="en-CA"/>
        </w:rPr>
        <w:t>. In addition, our sample</w:t>
      </w:r>
      <w:r w:rsidR="00B70212" w:rsidRPr="0071085D">
        <w:rPr>
          <w:sz w:val="24"/>
          <w:szCs w:val="24"/>
          <w:lang w:val="en-CA"/>
        </w:rPr>
        <w:t xml:space="preserve"> showed higher levels of risk-taking behavior than what is found in the general French-C</w:t>
      </w:r>
      <w:r w:rsidR="00B70212" w:rsidRPr="0071085D">
        <w:rPr>
          <w:sz w:val="24"/>
          <w:lang w:val="en-CA"/>
        </w:rPr>
        <w:t>anadian</w:t>
      </w:r>
      <w:r w:rsidR="00B70212" w:rsidRPr="0071085D">
        <w:rPr>
          <w:sz w:val="24"/>
          <w:szCs w:val="24"/>
          <w:lang w:val="en-US"/>
        </w:rPr>
        <w:t xml:space="preserve"> </w:t>
      </w:r>
      <w:r w:rsidR="00B70212" w:rsidRPr="0071085D">
        <w:rPr>
          <w:sz w:val="24"/>
          <w:szCs w:val="24"/>
          <w:lang w:val="en-CA"/>
        </w:rPr>
        <w:t>population</w:t>
      </w:r>
      <w:r w:rsidR="00321D2B" w:rsidRPr="0071085D">
        <w:rPr>
          <w:sz w:val="24"/>
          <w:szCs w:val="24"/>
          <w:lang w:val="en-CA"/>
        </w:rPr>
        <w:t xml:space="preserve"> (</w:t>
      </w:r>
      <w:r w:rsidR="00BF2008" w:rsidRPr="0071085D">
        <w:rPr>
          <w:sz w:val="24"/>
          <w:szCs w:val="24"/>
          <w:lang w:val="en-CA"/>
        </w:rPr>
        <w:t>Lambert et al., 2017</w:t>
      </w:r>
      <w:r w:rsidR="00321D2B" w:rsidRPr="0071085D">
        <w:rPr>
          <w:sz w:val="24"/>
          <w:szCs w:val="24"/>
          <w:lang w:val="en-CA"/>
        </w:rPr>
        <w:t>)</w:t>
      </w:r>
      <w:r w:rsidR="00B70212" w:rsidRPr="0071085D">
        <w:rPr>
          <w:sz w:val="24"/>
          <w:szCs w:val="24"/>
          <w:lang w:val="en-CA"/>
        </w:rPr>
        <w:t xml:space="preserve">. </w:t>
      </w:r>
      <w:r w:rsidR="002D1DED" w:rsidRPr="0071085D">
        <w:rPr>
          <w:sz w:val="24"/>
          <w:szCs w:val="24"/>
          <w:lang w:val="en-CA"/>
        </w:rPr>
        <w:t xml:space="preserve">This may </w:t>
      </w:r>
      <w:r w:rsidR="00133EB2" w:rsidRPr="0071085D">
        <w:rPr>
          <w:sz w:val="24"/>
          <w:szCs w:val="24"/>
          <w:lang w:val="en-CA"/>
        </w:rPr>
        <w:t>reflect</w:t>
      </w:r>
      <w:r w:rsidR="002D1DED" w:rsidRPr="0071085D">
        <w:rPr>
          <w:sz w:val="24"/>
          <w:szCs w:val="24"/>
          <w:lang w:val="en-CA"/>
        </w:rPr>
        <w:t xml:space="preserve"> an </w:t>
      </w:r>
      <w:r w:rsidR="002D1DED" w:rsidRPr="0071085D">
        <w:rPr>
          <w:sz w:val="24"/>
          <w:lang w:val="en-CA"/>
        </w:rPr>
        <w:t>undergraduate</w:t>
      </w:r>
      <w:r w:rsidR="002D1DED" w:rsidRPr="0071085D">
        <w:rPr>
          <w:sz w:val="24"/>
          <w:szCs w:val="24"/>
          <w:lang w:val="en-CA"/>
        </w:rPr>
        <w:t xml:space="preserve"> </w:t>
      </w:r>
      <w:r w:rsidR="002D1DED" w:rsidRPr="0071085D">
        <w:rPr>
          <w:sz w:val="24"/>
          <w:lang w:val="en-CA"/>
        </w:rPr>
        <w:t>lifestyle</w:t>
      </w:r>
      <w:r w:rsidR="002D1DED" w:rsidRPr="0071085D">
        <w:rPr>
          <w:sz w:val="24"/>
          <w:szCs w:val="24"/>
          <w:lang w:val="en-CA"/>
        </w:rPr>
        <w:t>, in which many social activities take place in bars and other settings</w:t>
      </w:r>
      <w:r w:rsidR="00813536" w:rsidRPr="0071085D">
        <w:rPr>
          <w:sz w:val="24"/>
          <w:szCs w:val="24"/>
          <w:lang w:val="en-CA"/>
        </w:rPr>
        <w:t xml:space="preserve"> </w:t>
      </w:r>
      <w:r w:rsidR="00780630" w:rsidRPr="0071085D">
        <w:rPr>
          <w:sz w:val="24"/>
          <w:szCs w:val="24"/>
          <w:lang w:val="en-CA"/>
        </w:rPr>
        <w:t xml:space="preserve">in which alcohol is present </w:t>
      </w:r>
      <w:r w:rsidR="00813536" w:rsidRPr="0071085D">
        <w:rPr>
          <w:sz w:val="24"/>
          <w:szCs w:val="24"/>
          <w:lang w:val="en-CA"/>
        </w:rPr>
        <w:t>(</w:t>
      </w:r>
      <w:r w:rsidR="0088196F" w:rsidRPr="0071085D">
        <w:rPr>
          <w:sz w:val="24"/>
          <w:szCs w:val="24"/>
          <w:lang w:val="en-CA"/>
        </w:rPr>
        <w:t>Wechsler &amp; Nelson, 2008</w:t>
      </w:r>
      <w:r w:rsidR="00813536" w:rsidRPr="0071085D">
        <w:rPr>
          <w:sz w:val="24"/>
          <w:szCs w:val="24"/>
          <w:lang w:val="en-CA"/>
        </w:rPr>
        <w:t>)</w:t>
      </w:r>
      <w:r w:rsidR="00220B5A" w:rsidRPr="0071085D">
        <w:rPr>
          <w:sz w:val="24"/>
          <w:szCs w:val="24"/>
          <w:lang w:val="en-CA"/>
        </w:rPr>
        <w:t>, and where s</w:t>
      </w:r>
      <w:r w:rsidR="008037B2" w:rsidRPr="0071085D">
        <w:rPr>
          <w:sz w:val="24"/>
          <w:szCs w:val="24"/>
          <w:lang w:val="en-CA"/>
        </w:rPr>
        <w:t xml:space="preserve">exual and substance use </w:t>
      </w:r>
      <w:r w:rsidR="00220B5A" w:rsidRPr="0071085D">
        <w:rPr>
          <w:sz w:val="24"/>
          <w:szCs w:val="24"/>
          <w:lang w:val="en-CA"/>
        </w:rPr>
        <w:t xml:space="preserve">exploration is more likely to </w:t>
      </w:r>
      <w:r w:rsidR="00577420" w:rsidRPr="0071085D">
        <w:rPr>
          <w:sz w:val="24"/>
          <w:szCs w:val="24"/>
          <w:lang w:val="en-CA"/>
        </w:rPr>
        <w:t>occur</w:t>
      </w:r>
      <w:r w:rsidR="00220B5A" w:rsidRPr="0071085D">
        <w:rPr>
          <w:sz w:val="24"/>
          <w:szCs w:val="24"/>
          <w:lang w:val="en-CA"/>
        </w:rPr>
        <w:t xml:space="preserve"> compared</w:t>
      </w:r>
      <w:r w:rsidR="00E44C6A" w:rsidRPr="0071085D">
        <w:rPr>
          <w:sz w:val="24"/>
          <w:szCs w:val="24"/>
          <w:lang w:val="en-CA"/>
        </w:rPr>
        <w:t xml:space="preserve"> </w:t>
      </w:r>
      <w:r w:rsidR="00220B5A" w:rsidRPr="0071085D">
        <w:rPr>
          <w:sz w:val="24"/>
          <w:szCs w:val="24"/>
          <w:lang w:val="en-CA"/>
        </w:rPr>
        <w:t>to</w:t>
      </w:r>
      <w:r w:rsidR="00780630" w:rsidRPr="0071085D">
        <w:rPr>
          <w:sz w:val="24"/>
          <w:szCs w:val="24"/>
          <w:lang w:val="en-CA"/>
        </w:rPr>
        <w:t>, for example,</w:t>
      </w:r>
      <w:r w:rsidR="00220B5A" w:rsidRPr="0071085D">
        <w:rPr>
          <w:sz w:val="24"/>
          <w:szCs w:val="24"/>
          <w:lang w:val="en-CA"/>
        </w:rPr>
        <w:t xml:space="preserve"> workplace</w:t>
      </w:r>
      <w:r w:rsidR="00577420" w:rsidRPr="0071085D">
        <w:rPr>
          <w:sz w:val="24"/>
          <w:szCs w:val="24"/>
          <w:lang w:val="en-CA"/>
        </w:rPr>
        <w:t xml:space="preserve"> settings.</w:t>
      </w:r>
      <w:bookmarkEnd w:id="9"/>
      <w:r w:rsidR="00220B5A" w:rsidRPr="0071085D">
        <w:rPr>
          <w:sz w:val="24"/>
          <w:szCs w:val="24"/>
          <w:lang w:val="en-CA"/>
        </w:rPr>
        <w:t xml:space="preserve"> </w:t>
      </w:r>
      <w:bookmarkStart w:id="10" w:name="_Hlk524705093"/>
      <w:bookmarkStart w:id="11" w:name="_Hlk525058381"/>
    </w:p>
    <w:p w14:paraId="2428A215" w14:textId="0D59A190" w:rsidR="00EA7C40" w:rsidRPr="0071085D" w:rsidRDefault="006533B6" w:rsidP="004235CF">
      <w:pPr>
        <w:pStyle w:val="Commentaire"/>
        <w:widowControl w:val="0"/>
        <w:spacing w:after="0" w:line="480" w:lineRule="auto"/>
        <w:ind w:firstLine="709"/>
        <w:contextualSpacing/>
        <w:rPr>
          <w:sz w:val="24"/>
          <w:lang w:val="en-CA"/>
        </w:rPr>
      </w:pPr>
      <w:r w:rsidRPr="0071085D">
        <w:rPr>
          <w:sz w:val="24"/>
          <w:szCs w:val="24"/>
          <w:lang w:val="en-CA"/>
        </w:rPr>
        <w:t>T</w:t>
      </w:r>
      <w:r w:rsidR="00081B18" w:rsidRPr="0071085D">
        <w:rPr>
          <w:sz w:val="24"/>
          <w:szCs w:val="24"/>
          <w:lang w:val="en-CA"/>
        </w:rPr>
        <w:t>wo</w:t>
      </w:r>
      <w:r w:rsidRPr="0071085D">
        <w:rPr>
          <w:sz w:val="24"/>
          <w:szCs w:val="24"/>
          <w:lang w:val="en-CA"/>
        </w:rPr>
        <w:t xml:space="preserve"> main avenues for f</w:t>
      </w:r>
      <w:r w:rsidR="00912E9A" w:rsidRPr="0071085D">
        <w:rPr>
          <w:sz w:val="24"/>
          <w:szCs w:val="24"/>
          <w:lang w:val="en-CA"/>
        </w:rPr>
        <w:t xml:space="preserve">uture research </w:t>
      </w:r>
      <w:r w:rsidRPr="0071085D">
        <w:rPr>
          <w:sz w:val="24"/>
          <w:szCs w:val="24"/>
          <w:lang w:val="en-CA"/>
        </w:rPr>
        <w:t xml:space="preserve">follow from this study. First, </w:t>
      </w:r>
      <w:r w:rsidR="00133EB2" w:rsidRPr="0071085D">
        <w:rPr>
          <w:sz w:val="24"/>
          <w:szCs w:val="24"/>
          <w:lang w:val="en-CA"/>
        </w:rPr>
        <w:t xml:space="preserve">in line with previous research shedding light on the </w:t>
      </w:r>
      <w:r w:rsidR="00391631" w:rsidRPr="0071085D">
        <w:rPr>
          <w:sz w:val="24"/>
          <w:szCs w:val="24"/>
          <w:lang w:val="en-CA"/>
        </w:rPr>
        <w:t xml:space="preserve">bidirectional </w:t>
      </w:r>
      <w:r w:rsidR="00133EB2" w:rsidRPr="0071085D">
        <w:rPr>
          <w:sz w:val="24"/>
          <w:szCs w:val="24"/>
          <w:lang w:val="en-CA"/>
        </w:rPr>
        <w:t>positive association between sex</w:t>
      </w:r>
      <w:r w:rsidR="00601E6F" w:rsidRPr="0071085D">
        <w:rPr>
          <w:sz w:val="24"/>
          <w:szCs w:val="24"/>
          <w:lang w:val="en-CA"/>
        </w:rPr>
        <w:t>ual</w:t>
      </w:r>
      <w:r w:rsidR="00133EB2" w:rsidRPr="0071085D">
        <w:rPr>
          <w:sz w:val="24"/>
          <w:szCs w:val="24"/>
          <w:lang w:val="en-CA"/>
        </w:rPr>
        <w:t xml:space="preserve"> and substance </w:t>
      </w:r>
      <w:r w:rsidR="00601E6F" w:rsidRPr="0071085D">
        <w:rPr>
          <w:sz w:val="24"/>
          <w:szCs w:val="24"/>
          <w:lang w:val="en-CA"/>
        </w:rPr>
        <w:t>risk-taking</w:t>
      </w:r>
      <w:r w:rsidR="00133EB2" w:rsidRPr="0071085D">
        <w:rPr>
          <w:sz w:val="24"/>
          <w:szCs w:val="24"/>
          <w:lang w:val="en-CA"/>
        </w:rPr>
        <w:t>, our</w:t>
      </w:r>
      <w:r w:rsidR="006979BD" w:rsidRPr="0071085D">
        <w:rPr>
          <w:sz w:val="24"/>
          <w:szCs w:val="24"/>
          <w:lang w:val="en-CA"/>
        </w:rPr>
        <w:t xml:space="preserve"> findings suggest that risk-taking </w:t>
      </w:r>
      <w:r w:rsidR="00A468FF" w:rsidRPr="0071085D">
        <w:rPr>
          <w:sz w:val="24"/>
          <w:szCs w:val="24"/>
          <w:lang w:val="en-CA"/>
        </w:rPr>
        <w:t>may be</w:t>
      </w:r>
      <w:r w:rsidR="006979BD" w:rsidRPr="0071085D">
        <w:rPr>
          <w:sz w:val="24"/>
          <w:szCs w:val="24"/>
          <w:lang w:val="en-CA"/>
        </w:rPr>
        <w:t xml:space="preserve"> polymorphic and clustered in </w:t>
      </w:r>
      <w:r w:rsidR="006979BD" w:rsidRPr="0071085D">
        <w:rPr>
          <w:sz w:val="24"/>
          <w:szCs w:val="24"/>
          <w:lang w:val="en-CA"/>
        </w:rPr>
        <w:lastRenderedPageBreak/>
        <w:t>constellation</w:t>
      </w:r>
      <w:r w:rsidR="00391631" w:rsidRPr="0071085D">
        <w:rPr>
          <w:sz w:val="24"/>
          <w:szCs w:val="24"/>
          <w:lang w:val="en-CA"/>
        </w:rPr>
        <w:t>s</w:t>
      </w:r>
      <w:r w:rsidR="006979BD" w:rsidRPr="0071085D">
        <w:rPr>
          <w:sz w:val="24"/>
          <w:szCs w:val="24"/>
          <w:lang w:val="en-CA"/>
        </w:rPr>
        <w:t xml:space="preserve"> of </w:t>
      </w:r>
      <w:r w:rsidR="00601E6F" w:rsidRPr="0071085D">
        <w:rPr>
          <w:sz w:val="24"/>
          <w:szCs w:val="24"/>
          <w:lang w:val="en-CA"/>
        </w:rPr>
        <w:t xml:space="preserve">risk-taking </w:t>
      </w:r>
      <w:r w:rsidR="006979BD" w:rsidRPr="0071085D">
        <w:rPr>
          <w:sz w:val="24"/>
          <w:szCs w:val="24"/>
          <w:lang w:val="en-CA"/>
        </w:rPr>
        <w:t>behaviors within the same individuals</w:t>
      </w:r>
      <w:r w:rsidR="00133EB2" w:rsidRPr="0071085D">
        <w:rPr>
          <w:sz w:val="24"/>
          <w:szCs w:val="24"/>
          <w:lang w:val="en-CA"/>
        </w:rPr>
        <w:t xml:space="preserve">. As such, </w:t>
      </w:r>
      <w:r w:rsidR="006979BD" w:rsidRPr="0071085D">
        <w:rPr>
          <w:sz w:val="24"/>
          <w:szCs w:val="24"/>
          <w:lang w:val="en-CA"/>
        </w:rPr>
        <w:t>engaging in</w:t>
      </w:r>
      <w:r w:rsidR="008037B2" w:rsidRPr="0071085D">
        <w:rPr>
          <w:sz w:val="24"/>
          <w:szCs w:val="24"/>
          <w:lang w:val="en-CA"/>
        </w:rPr>
        <w:t xml:space="preserve"> </w:t>
      </w:r>
      <w:r w:rsidR="00601E6F" w:rsidRPr="0071085D">
        <w:rPr>
          <w:sz w:val="24"/>
          <w:szCs w:val="24"/>
          <w:lang w:val="en-CA"/>
        </w:rPr>
        <w:t xml:space="preserve">risk-taking </w:t>
      </w:r>
      <w:r w:rsidR="006979BD" w:rsidRPr="0071085D">
        <w:rPr>
          <w:sz w:val="24"/>
          <w:szCs w:val="24"/>
          <w:lang w:val="en-CA"/>
        </w:rPr>
        <w:t xml:space="preserve">behaviors in one domain </w:t>
      </w:r>
      <w:r w:rsidR="00133EB2" w:rsidRPr="0071085D">
        <w:rPr>
          <w:sz w:val="24"/>
          <w:szCs w:val="24"/>
          <w:lang w:val="en-CA"/>
        </w:rPr>
        <w:t xml:space="preserve">could </w:t>
      </w:r>
      <w:r w:rsidR="006979BD" w:rsidRPr="0071085D">
        <w:rPr>
          <w:sz w:val="24"/>
          <w:szCs w:val="24"/>
          <w:lang w:val="en-CA"/>
        </w:rPr>
        <w:t>lead to</w:t>
      </w:r>
      <w:r w:rsidR="00133EB2" w:rsidRPr="0071085D">
        <w:rPr>
          <w:sz w:val="24"/>
          <w:szCs w:val="24"/>
          <w:lang w:val="en-CA"/>
        </w:rPr>
        <w:t xml:space="preserve"> increases in</w:t>
      </w:r>
      <w:r w:rsidR="006979BD" w:rsidRPr="0071085D">
        <w:rPr>
          <w:sz w:val="24"/>
          <w:szCs w:val="24"/>
          <w:lang w:val="en-CA"/>
        </w:rPr>
        <w:t xml:space="preserve"> </w:t>
      </w:r>
      <w:r w:rsidR="00601E6F" w:rsidRPr="0071085D">
        <w:rPr>
          <w:sz w:val="24"/>
          <w:szCs w:val="24"/>
          <w:lang w:val="en-CA"/>
        </w:rPr>
        <w:t>risk-taking</w:t>
      </w:r>
      <w:r w:rsidR="006979BD" w:rsidRPr="0071085D">
        <w:rPr>
          <w:sz w:val="24"/>
          <w:szCs w:val="24"/>
          <w:lang w:val="en-CA"/>
        </w:rPr>
        <w:t xml:space="preserve"> in other </w:t>
      </w:r>
      <w:r w:rsidR="00133EB2" w:rsidRPr="0071085D">
        <w:rPr>
          <w:sz w:val="24"/>
          <w:szCs w:val="24"/>
          <w:lang w:val="en-CA"/>
        </w:rPr>
        <w:t>domains.</w:t>
      </w:r>
      <w:r w:rsidR="006979BD" w:rsidRPr="0071085D">
        <w:rPr>
          <w:sz w:val="24"/>
          <w:szCs w:val="24"/>
          <w:lang w:val="en-CA"/>
        </w:rPr>
        <w:t xml:space="preserve"> </w:t>
      </w:r>
      <w:r w:rsidR="00133EB2" w:rsidRPr="0071085D">
        <w:rPr>
          <w:sz w:val="24"/>
          <w:szCs w:val="24"/>
          <w:lang w:val="en-CA"/>
        </w:rPr>
        <w:t xml:space="preserve">However, the </w:t>
      </w:r>
      <w:r w:rsidR="003F262D" w:rsidRPr="0071085D">
        <w:rPr>
          <w:sz w:val="24"/>
          <w:szCs w:val="24"/>
          <w:lang w:val="en-CA"/>
        </w:rPr>
        <w:t xml:space="preserve">current </w:t>
      </w:r>
      <w:r w:rsidR="00133EB2" w:rsidRPr="0071085D">
        <w:rPr>
          <w:sz w:val="24"/>
          <w:szCs w:val="24"/>
          <w:lang w:val="en-CA"/>
        </w:rPr>
        <w:t xml:space="preserve">corpus of knowledge would benefit from more data on the </w:t>
      </w:r>
      <w:r w:rsidR="00133EB2" w:rsidRPr="0071085D">
        <w:rPr>
          <w:sz w:val="24"/>
          <w:lang w:val="en-CA"/>
        </w:rPr>
        <w:t xml:space="preserve">intersections of risk-taking behaviors across </w:t>
      </w:r>
      <w:r w:rsidR="003F262D" w:rsidRPr="0071085D">
        <w:rPr>
          <w:sz w:val="24"/>
          <w:szCs w:val="24"/>
          <w:lang w:val="en-CA"/>
        </w:rPr>
        <w:t xml:space="preserve">life </w:t>
      </w:r>
      <w:r w:rsidR="00133EB2" w:rsidRPr="0071085D">
        <w:rPr>
          <w:sz w:val="24"/>
          <w:lang w:val="en-CA"/>
        </w:rPr>
        <w:t>domains and contexts</w:t>
      </w:r>
      <w:r w:rsidR="00BE4690" w:rsidRPr="0071085D">
        <w:rPr>
          <w:i/>
          <w:sz w:val="24"/>
          <w:szCs w:val="24"/>
          <w:lang w:val="en-CA"/>
        </w:rPr>
        <w:t xml:space="preserve">. </w:t>
      </w:r>
      <w:r w:rsidR="00973E83" w:rsidRPr="0071085D">
        <w:rPr>
          <w:sz w:val="24"/>
          <w:szCs w:val="24"/>
          <w:lang w:val="en-CA"/>
        </w:rPr>
        <w:t>As such, f</w:t>
      </w:r>
      <w:r w:rsidR="00BE4690" w:rsidRPr="0071085D">
        <w:rPr>
          <w:sz w:val="24"/>
          <w:szCs w:val="24"/>
          <w:lang w:val="en-CA"/>
        </w:rPr>
        <w:t xml:space="preserve">uture studies on </w:t>
      </w:r>
      <w:r w:rsidR="00133EB2" w:rsidRPr="0071085D">
        <w:rPr>
          <w:sz w:val="24"/>
          <w:szCs w:val="24"/>
          <w:lang w:val="en-CA"/>
        </w:rPr>
        <w:t>risk-taking in emerging adulthood should include measures of simultaneous poly</w:t>
      </w:r>
      <w:r w:rsidR="003F262D" w:rsidRPr="0071085D">
        <w:rPr>
          <w:sz w:val="24"/>
          <w:szCs w:val="24"/>
          <w:lang w:val="en-CA"/>
        </w:rPr>
        <w:t xml:space="preserve">substance </w:t>
      </w:r>
      <w:r w:rsidR="00133EB2" w:rsidRPr="0071085D">
        <w:rPr>
          <w:sz w:val="24"/>
          <w:szCs w:val="24"/>
          <w:lang w:val="en-CA"/>
        </w:rPr>
        <w:t>use</w:t>
      </w:r>
      <w:r w:rsidR="00BE4690" w:rsidRPr="0071085D">
        <w:rPr>
          <w:sz w:val="24"/>
          <w:szCs w:val="24"/>
          <w:lang w:val="en-CA"/>
        </w:rPr>
        <w:t xml:space="preserve"> and sexual </w:t>
      </w:r>
      <w:r w:rsidR="00601E6F" w:rsidRPr="0071085D">
        <w:rPr>
          <w:sz w:val="24"/>
          <w:szCs w:val="24"/>
          <w:lang w:val="en-CA"/>
        </w:rPr>
        <w:t>risk-taking</w:t>
      </w:r>
      <w:r w:rsidR="00BE4690" w:rsidRPr="0071085D">
        <w:rPr>
          <w:sz w:val="24"/>
          <w:szCs w:val="24"/>
          <w:lang w:val="en-CA"/>
        </w:rPr>
        <w:t xml:space="preserve">, </w:t>
      </w:r>
      <w:r w:rsidR="009D63EA" w:rsidRPr="0071085D">
        <w:rPr>
          <w:sz w:val="24"/>
          <w:szCs w:val="24"/>
          <w:lang w:val="en-CA"/>
        </w:rPr>
        <w:t xml:space="preserve">of </w:t>
      </w:r>
      <w:r w:rsidR="003F262D" w:rsidRPr="0071085D">
        <w:rPr>
          <w:sz w:val="24"/>
          <w:szCs w:val="24"/>
          <w:lang w:val="en-CA"/>
        </w:rPr>
        <w:t xml:space="preserve">different </w:t>
      </w:r>
      <w:r w:rsidR="00133EB2" w:rsidRPr="0071085D">
        <w:rPr>
          <w:sz w:val="24"/>
          <w:szCs w:val="24"/>
          <w:lang w:val="en-CA"/>
        </w:rPr>
        <w:t>substance use contexts (e.g., alone versus with others)</w:t>
      </w:r>
      <w:r w:rsidR="00973E83" w:rsidRPr="0071085D">
        <w:rPr>
          <w:sz w:val="24"/>
          <w:szCs w:val="24"/>
          <w:lang w:val="en-CA"/>
        </w:rPr>
        <w:t>,</w:t>
      </w:r>
      <w:r w:rsidR="00B10448" w:rsidRPr="0071085D">
        <w:rPr>
          <w:sz w:val="24"/>
          <w:szCs w:val="24"/>
          <w:lang w:val="en-CA"/>
        </w:rPr>
        <w:t xml:space="preserve"> </w:t>
      </w:r>
      <w:bookmarkEnd w:id="10"/>
      <w:r w:rsidR="00973E83" w:rsidRPr="0071085D">
        <w:rPr>
          <w:sz w:val="24"/>
          <w:szCs w:val="24"/>
          <w:lang w:val="en-CA"/>
        </w:rPr>
        <w:t xml:space="preserve">and </w:t>
      </w:r>
      <w:r w:rsidR="003F262D" w:rsidRPr="0071085D">
        <w:rPr>
          <w:sz w:val="24"/>
          <w:szCs w:val="24"/>
          <w:lang w:val="en-CA"/>
        </w:rPr>
        <w:t xml:space="preserve">of different </w:t>
      </w:r>
      <w:r w:rsidR="00973E83" w:rsidRPr="0071085D">
        <w:rPr>
          <w:sz w:val="24"/>
          <w:szCs w:val="24"/>
          <w:lang w:val="en-CA"/>
        </w:rPr>
        <w:t>motives</w:t>
      </w:r>
      <w:r w:rsidR="00D75661" w:rsidRPr="0071085D">
        <w:rPr>
          <w:sz w:val="24"/>
          <w:szCs w:val="24"/>
          <w:lang w:val="en-CA"/>
        </w:rPr>
        <w:t>, such as</w:t>
      </w:r>
      <w:r w:rsidR="001015E7" w:rsidRPr="0071085D">
        <w:rPr>
          <w:sz w:val="24"/>
          <w:szCs w:val="24"/>
          <w:lang w:val="en-CA"/>
        </w:rPr>
        <w:t xml:space="preserve"> </w:t>
      </w:r>
      <w:proofErr w:type="spellStart"/>
      <w:r w:rsidR="00D75661" w:rsidRPr="0071085D">
        <w:rPr>
          <w:i/>
          <w:sz w:val="24"/>
          <w:lang w:val="en-CA"/>
        </w:rPr>
        <w:t>chemsex</w:t>
      </w:r>
      <w:proofErr w:type="spellEnd"/>
      <w:r w:rsidR="00D75661" w:rsidRPr="0071085D">
        <w:rPr>
          <w:i/>
          <w:sz w:val="24"/>
          <w:szCs w:val="24"/>
          <w:lang w:val="en-CA"/>
        </w:rPr>
        <w:t xml:space="preserve"> </w:t>
      </w:r>
      <w:r w:rsidR="00D75661" w:rsidRPr="0071085D">
        <w:rPr>
          <w:sz w:val="24"/>
          <w:lang w:val="en-CA"/>
        </w:rPr>
        <w:t>(i.e.</w:t>
      </w:r>
      <w:r w:rsidR="00601E6F" w:rsidRPr="0071085D">
        <w:rPr>
          <w:sz w:val="24"/>
          <w:lang w:val="en-CA"/>
        </w:rPr>
        <w:t>,</w:t>
      </w:r>
      <w:r w:rsidR="00D75661" w:rsidRPr="0071085D">
        <w:rPr>
          <w:i/>
          <w:sz w:val="24"/>
          <w:szCs w:val="24"/>
          <w:lang w:val="en-CA"/>
        </w:rPr>
        <w:t xml:space="preserve"> </w:t>
      </w:r>
      <w:r w:rsidR="00D75661" w:rsidRPr="0071085D">
        <w:rPr>
          <w:sz w:val="24"/>
          <w:szCs w:val="24"/>
          <w:lang w:val="en-CA"/>
        </w:rPr>
        <w:t>purposeful</w:t>
      </w:r>
      <w:r w:rsidR="00D75661" w:rsidRPr="0071085D">
        <w:rPr>
          <w:bCs/>
          <w:color w:val="000000"/>
          <w:sz w:val="24"/>
          <w:szCs w:val="24"/>
          <w:lang w:val="en-CA"/>
        </w:rPr>
        <w:t xml:space="preserve"> </w:t>
      </w:r>
      <w:r w:rsidR="00601E6F" w:rsidRPr="0071085D">
        <w:rPr>
          <w:bCs/>
          <w:color w:val="000000"/>
          <w:sz w:val="24"/>
          <w:szCs w:val="24"/>
          <w:lang w:val="en-CA"/>
        </w:rPr>
        <w:t xml:space="preserve">substance </w:t>
      </w:r>
      <w:r w:rsidR="00D75661" w:rsidRPr="0071085D">
        <w:rPr>
          <w:bCs/>
          <w:color w:val="000000"/>
          <w:sz w:val="24"/>
          <w:szCs w:val="24"/>
          <w:lang w:val="en-CA"/>
        </w:rPr>
        <w:t xml:space="preserve">use before or during planned sexual activity to sustain, enhance, disinhibit or facilitate the sexual experience; </w:t>
      </w:r>
      <w:r w:rsidR="00D75661" w:rsidRPr="0071085D">
        <w:rPr>
          <w:sz w:val="24"/>
          <w:szCs w:val="24"/>
          <w:lang w:val="en-CA"/>
        </w:rPr>
        <w:t xml:space="preserve">Edmundson et al., </w:t>
      </w:r>
      <w:r w:rsidR="00D75661" w:rsidRPr="0071085D">
        <w:rPr>
          <w:sz w:val="24"/>
          <w:lang w:val="en-CA"/>
        </w:rPr>
        <w:t xml:space="preserve">2018). </w:t>
      </w:r>
      <w:bookmarkEnd w:id="11"/>
    </w:p>
    <w:p w14:paraId="1202AC73" w14:textId="45DECC95" w:rsidR="001D0078" w:rsidRPr="0071085D" w:rsidRDefault="00A833FD" w:rsidP="004235CF">
      <w:pPr>
        <w:pStyle w:val="Commentaire"/>
        <w:widowControl w:val="0"/>
        <w:spacing w:after="0" w:line="480" w:lineRule="auto"/>
        <w:ind w:firstLine="709"/>
        <w:contextualSpacing/>
        <w:rPr>
          <w:sz w:val="24"/>
          <w:szCs w:val="24"/>
          <w:lang w:val="en-CA"/>
        </w:rPr>
      </w:pPr>
      <w:r w:rsidRPr="0071085D">
        <w:rPr>
          <w:sz w:val="24"/>
          <w:szCs w:val="24"/>
          <w:lang w:val="en-CA"/>
        </w:rPr>
        <w:t xml:space="preserve">A </w:t>
      </w:r>
      <w:r w:rsidR="00081B18" w:rsidRPr="0071085D">
        <w:rPr>
          <w:sz w:val="24"/>
          <w:szCs w:val="24"/>
          <w:lang w:val="en-CA"/>
        </w:rPr>
        <w:t xml:space="preserve">second </w:t>
      </w:r>
      <w:r w:rsidR="00D728AF" w:rsidRPr="0071085D">
        <w:rPr>
          <w:sz w:val="24"/>
          <w:szCs w:val="24"/>
          <w:lang w:val="en-CA"/>
        </w:rPr>
        <w:t xml:space="preserve">question that warrants more investigation </w:t>
      </w:r>
      <w:r w:rsidR="003F262D" w:rsidRPr="0071085D">
        <w:rPr>
          <w:sz w:val="24"/>
          <w:szCs w:val="24"/>
          <w:lang w:val="en-CA"/>
        </w:rPr>
        <w:t xml:space="preserve">regards </w:t>
      </w:r>
      <w:r w:rsidR="00D728AF" w:rsidRPr="0071085D">
        <w:rPr>
          <w:i/>
          <w:sz w:val="24"/>
          <w:lang w:val="en-CA"/>
        </w:rPr>
        <w:t>the</w:t>
      </w:r>
      <w:r w:rsidR="00391631" w:rsidRPr="0071085D">
        <w:rPr>
          <w:i/>
          <w:sz w:val="24"/>
          <w:lang w:val="en-CA"/>
        </w:rPr>
        <w:t xml:space="preserve"> stability of the classes</w:t>
      </w:r>
      <w:r w:rsidR="00D728AF" w:rsidRPr="0071085D">
        <w:rPr>
          <w:i/>
          <w:sz w:val="24"/>
          <w:lang w:val="en-CA"/>
        </w:rPr>
        <w:t xml:space="preserve"> over time</w:t>
      </w:r>
      <w:r w:rsidR="00D728AF" w:rsidRPr="0071085D">
        <w:rPr>
          <w:sz w:val="24"/>
          <w:szCs w:val="24"/>
          <w:lang w:val="en-CA"/>
        </w:rPr>
        <w:t>. Future longitudinal research is needed to examine the proportion of participants moving from one profile to another and the</w:t>
      </w:r>
      <w:r w:rsidR="00D55B1A" w:rsidRPr="0071085D">
        <w:rPr>
          <w:sz w:val="24"/>
          <w:szCs w:val="24"/>
          <w:lang w:val="en-CA"/>
        </w:rPr>
        <w:t xml:space="preserve"> characteristics of individuals joining </w:t>
      </w:r>
      <w:r w:rsidR="001D0078" w:rsidRPr="0071085D">
        <w:rPr>
          <w:sz w:val="24"/>
          <w:szCs w:val="24"/>
          <w:lang w:val="en-CA"/>
        </w:rPr>
        <w:t xml:space="preserve">the </w:t>
      </w:r>
      <w:r w:rsidR="00D55B1A" w:rsidRPr="0071085D">
        <w:rPr>
          <w:sz w:val="24"/>
          <w:szCs w:val="24"/>
          <w:lang w:val="en-CA"/>
        </w:rPr>
        <w:t xml:space="preserve">lower </w:t>
      </w:r>
      <w:r w:rsidR="00D728AF" w:rsidRPr="0071085D">
        <w:rPr>
          <w:sz w:val="24"/>
          <w:szCs w:val="24"/>
          <w:lang w:val="en-CA"/>
        </w:rPr>
        <w:t>risk group</w:t>
      </w:r>
      <w:r w:rsidR="00D55B1A" w:rsidRPr="0071085D">
        <w:rPr>
          <w:sz w:val="24"/>
          <w:szCs w:val="24"/>
          <w:lang w:val="en-CA"/>
        </w:rPr>
        <w:t>s</w:t>
      </w:r>
      <w:r w:rsidR="00D728AF" w:rsidRPr="0071085D">
        <w:rPr>
          <w:sz w:val="24"/>
          <w:szCs w:val="24"/>
          <w:lang w:val="en-CA"/>
        </w:rPr>
        <w:t xml:space="preserve"> over time. These transitions </w:t>
      </w:r>
      <w:r w:rsidR="002D1DED" w:rsidRPr="0071085D">
        <w:rPr>
          <w:sz w:val="24"/>
          <w:szCs w:val="24"/>
          <w:lang w:val="en-CA"/>
        </w:rPr>
        <w:t xml:space="preserve">from one profile to another are </w:t>
      </w:r>
      <w:r w:rsidR="00D728AF" w:rsidRPr="0071085D">
        <w:rPr>
          <w:sz w:val="24"/>
          <w:szCs w:val="24"/>
          <w:lang w:val="en-CA"/>
        </w:rPr>
        <w:t>especially</w:t>
      </w:r>
      <w:r w:rsidR="002D1DED" w:rsidRPr="0071085D">
        <w:rPr>
          <w:sz w:val="24"/>
          <w:szCs w:val="24"/>
          <w:lang w:val="en-CA"/>
        </w:rPr>
        <w:t xml:space="preserve"> important in the early years of adulthood</w:t>
      </w:r>
      <w:r w:rsidR="001D0078" w:rsidRPr="0071085D">
        <w:rPr>
          <w:sz w:val="24"/>
          <w:szCs w:val="24"/>
          <w:lang w:val="en-CA"/>
        </w:rPr>
        <w:t>, where most individuals eventually engage in long-term romantic relationship</w:t>
      </w:r>
      <w:r w:rsidR="003F262D" w:rsidRPr="0071085D">
        <w:rPr>
          <w:sz w:val="24"/>
          <w:szCs w:val="24"/>
          <w:lang w:val="en-CA"/>
        </w:rPr>
        <w:t>s</w:t>
      </w:r>
      <w:r w:rsidR="001D0078" w:rsidRPr="0071085D">
        <w:rPr>
          <w:sz w:val="24"/>
          <w:szCs w:val="24"/>
          <w:lang w:val="en-CA"/>
        </w:rPr>
        <w:t>.</w:t>
      </w:r>
      <w:r w:rsidR="00D728AF" w:rsidRPr="0071085D">
        <w:rPr>
          <w:sz w:val="24"/>
          <w:szCs w:val="24"/>
          <w:lang w:val="en-CA"/>
        </w:rPr>
        <w:t xml:space="preserve">  </w:t>
      </w:r>
    </w:p>
    <w:p w14:paraId="36B24977" w14:textId="77777777" w:rsidR="00133EB2" w:rsidRPr="0071085D" w:rsidRDefault="00133EB2" w:rsidP="004235CF">
      <w:pPr>
        <w:pStyle w:val="NormalWeb"/>
        <w:widowControl w:val="0"/>
        <w:spacing w:before="0" w:beforeAutospacing="0" w:after="0" w:afterAutospacing="0" w:line="480" w:lineRule="auto"/>
        <w:rPr>
          <w:b/>
          <w:lang w:val="en-CA"/>
        </w:rPr>
      </w:pPr>
      <w:r w:rsidRPr="0071085D">
        <w:rPr>
          <w:b/>
          <w:lang w:val="en-CA"/>
        </w:rPr>
        <w:t>Clinical Implications</w:t>
      </w:r>
    </w:p>
    <w:p w14:paraId="7AE92081" w14:textId="7BE7FEB0" w:rsidR="00FB4295" w:rsidRPr="0071085D" w:rsidRDefault="00E1066B" w:rsidP="004235CF">
      <w:pPr>
        <w:pStyle w:val="NormalWeb"/>
        <w:widowControl w:val="0"/>
        <w:spacing w:before="0" w:beforeAutospacing="0" w:after="0" w:afterAutospacing="0" w:line="480" w:lineRule="auto"/>
        <w:ind w:firstLine="709"/>
        <w:rPr>
          <w:lang w:val="en-CA"/>
        </w:rPr>
      </w:pPr>
      <w:r w:rsidRPr="0071085D">
        <w:rPr>
          <w:lang w:val="en-CA"/>
        </w:rPr>
        <w:t xml:space="preserve">This study </w:t>
      </w:r>
      <w:r w:rsidR="00FB4295" w:rsidRPr="0071085D">
        <w:rPr>
          <w:lang w:val="en-CA"/>
        </w:rPr>
        <w:t>reiterate</w:t>
      </w:r>
      <w:r w:rsidRPr="0071085D">
        <w:rPr>
          <w:lang w:val="en-CA"/>
        </w:rPr>
        <w:t>s</w:t>
      </w:r>
      <w:r w:rsidR="00FB4295" w:rsidRPr="0071085D">
        <w:rPr>
          <w:lang w:val="en-CA"/>
        </w:rPr>
        <w:t xml:space="preserve"> the relevance of sexual education and promotion of condom use beyond adolescence, </w:t>
      </w:r>
      <w:r w:rsidR="00494CCA" w:rsidRPr="0071085D">
        <w:rPr>
          <w:lang w:val="en-CA"/>
        </w:rPr>
        <w:t xml:space="preserve">as </w:t>
      </w:r>
      <w:r w:rsidR="00FB4295" w:rsidRPr="0071085D">
        <w:rPr>
          <w:lang w:val="en-CA"/>
        </w:rPr>
        <w:t>well as the importance of promoting regular STI testing for all</w:t>
      </w:r>
      <w:r w:rsidR="00773FAE" w:rsidRPr="0071085D">
        <w:rPr>
          <w:lang w:val="en-CA"/>
        </w:rPr>
        <w:t>—</w:t>
      </w:r>
      <w:r w:rsidR="00494CCA" w:rsidRPr="0071085D">
        <w:rPr>
          <w:lang w:val="en-CA"/>
        </w:rPr>
        <w:t xml:space="preserve">, </w:t>
      </w:r>
      <w:r w:rsidR="00FB4295" w:rsidRPr="0071085D">
        <w:rPr>
          <w:lang w:val="en-CA"/>
        </w:rPr>
        <w:t>including emerging adults who are involved in romantic relationships in which condom use is less likely</w:t>
      </w:r>
      <w:r w:rsidR="00773FAE" w:rsidRPr="0071085D">
        <w:rPr>
          <w:lang w:val="en-CA"/>
        </w:rPr>
        <w:t>—</w:t>
      </w:r>
      <w:r w:rsidR="00FB4295" w:rsidRPr="0071085D">
        <w:rPr>
          <w:lang w:val="en-CA"/>
        </w:rPr>
        <w:t xml:space="preserve">, </w:t>
      </w:r>
      <w:r w:rsidR="00494CCA" w:rsidRPr="0071085D">
        <w:rPr>
          <w:lang w:val="en-CA"/>
        </w:rPr>
        <w:t>given that fewer</w:t>
      </w:r>
      <w:r w:rsidR="00FB4295" w:rsidRPr="0071085D">
        <w:rPr>
          <w:lang w:val="en-CA"/>
        </w:rPr>
        <w:t xml:space="preserve"> than half of our </w:t>
      </w:r>
      <w:r w:rsidR="00494CCA" w:rsidRPr="0071085D">
        <w:rPr>
          <w:i/>
          <w:lang w:val="en-CA"/>
        </w:rPr>
        <w:t xml:space="preserve">active </w:t>
      </w:r>
      <w:r w:rsidR="00FB4295" w:rsidRPr="0071085D">
        <w:rPr>
          <w:i/>
          <w:lang w:val="en-CA"/>
        </w:rPr>
        <w:t>low-risk</w:t>
      </w:r>
      <w:r w:rsidR="00FB4295" w:rsidRPr="0071085D">
        <w:rPr>
          <w:lang w:val="en-CA"/>
        </w:rPr>
        <w:t xml:space="preserve"> participants ever got tested. This seems especially important given the reviewed literature </w:t>
      </w:r>
      <w:r w:rsidR="00494CCA" w:rsidRPr="0071085D">
        <w:rPr>
          <w:lang w:val="en-CA"/>
        </w:rPr>
        <w:t xml:space="preserve">suggesting </w:t>
      </w:r>
      <w:r w:rsidR="00FB4295" w:rsidRPr="0071085D">
        <w:rPr>
          <w:lang w:val="en-CA"/>
        </w:rPr>
        <w:t xml:space="preserve">that a </w:t>
      </w:r>
      <w:r w:rsidR="00494CCA" w:rsidRPr="0071085D">
        <w:rPr>
          <w:lang w:val="en-CA"/>
        </w:rPr>
        <w:t xml:space="preserve">significant </w:t>
      </w:r>
      <w:r w:rsidR="00FB4295" w:rsidRPr="0071085D">
        <w:rPr>
          <w:lang w:val="en-CA"/>
        </w:rPr>
        <w:t xml:space="preserve">proportion of emerging adults in a stable relationship report having had </w:t>
      </w:r>
      <w:r w:rsidR="007A35A8" w:rsidRPr="0071085D">
        <w:rPr>
          <w:lang w:val="en-CA"/>
        </w:rPr>
        <w:t>at least one</w:t>
      </w:r>
      <w:r w:rsidR="00833266" w:rsidRPr="0071085D">
        <w:rPr>
          <w:lang w:val="en-CA"/>
        </w:rPr>
        <w:t xml:space="preserve"> extradyadic sexual encounter involving </w:t>
      </w:r>
      <w:r w:rsidR="00FB4295" w:rsidRPr="0071085D">
        <w:rPr>
          <w:lang w:val="en-CA"/>
        </w:rPr>
        <w:t>oral, vaginal</w:t>
      </w:r>
      <w:r w:rsidR="00833266" w:rsidRPr="0071085D">
        <w:rPr>
          <w:lang w:val="en-CA"/>
        </w:rPr>
        <w:t>,</w:t>
      </w:r>
      <w:r w:rsidR="00FB4295" w:rsidRPr="0071085D">
        <w:rPr>
          <w:lang w:val="en-CA"/>
        </w:rPr>
        <w:t xml:space="preserve"> or anal sex</w:t>
      </w:r>
      <w:r w:rsidR="00833266" w:rsidRPr="0071085D">
        <w:rPr>
          <w:lang w:val="en-CA"/>
        </w:rPr>
        <w:t>,</w:t>
      </w:r>
      <w:r w:rsidR="00FB4295" w:rsidRPr="0071085D">
        <w:rPr>
          <w:lang w:val="en-CA"/>
        </w:rPr>
        <w:t xml:space="preserve"> and that individuals </w:t>
      </w:r>
      <w:r w:rsidR="00833266" w:rsidRPr="0071085D">
        <w:rPr>
          <w:lang w:val="en-CA"/>
        </w:rPr>
        <w:t>who have</w:t>
      </w:r>
      <w:r w:rsidR="00FB4295" w:rsidRPr="0071085D">
        <w:rPr>
          <w:lang w:val="en-CA"/>
        </w:rPr>
        <w:t xml:space="preserve"> extradyadic sex are unlikely to get tested for STIs and use condoms </w:t>
      </w:r>
      <w:r w:rsidR="00833266" w:rsidRPr="0071085D">
        <w:rPr>
          <w:lang w:val="en-CA"/>
        </w:rPr>
        <w:t xml:space="preserve">with </w:t>
      </w:r>
      <w:r w:rsidR="00FB4295" w:rsidRPr="0071085D">
        <w:rPr>
          <w:lang w:val="en-CA"/>
        </w:rPr>
        <w:t xml:space="preserve">both their primary </w:t>
      </w:r>
      <w:r w:rsidR="00833266" w:rsidRPr="0071085D">
        <w:rPr>
          <w:lang w:val="en-CA"/>
        </w:rPr>
        <w:t>and extradyadic partners</w:t>
      </w:r>
      <w:r w:rsidR="00FB4295" w:rsidRPr="0071085D">
        <w:rPr>
          <w:lang w:val="en-CA"/>
        </w:rPr>
        <w:t xml:space="preserve"> </w:t>
      </w:r>
      <w:r w:rsidR="00FB4295" w:rsidRPr="0071085D">
        <w:rPr>
          <w:lang w:val="en-CA"/>
        </w:rPr>
        <w:lastRenderedPageBreak/>
        <w:t>(Adamopoulou, 2013; Conley et al., 2015)</w:t>
      </w:r>
      <w:r w:rsidR="00466721" w:rsidRPr="0071085D">
        <w:rPr>
          <w:lang w:val="en-CA"/>
        </w:rPr>
        <w:t xml:space="preserve">. </w:t>
      </w:r>
      <w:r w:rsidR="00466721" w:rsidRPr="0071085D">
        <w:rPr>
          <w:lang w:val="en-US"/>
        </w:rPr>
        <w:t xml:space="preserve">The </w:t>
      </w:r>
      <w:r w:rsidR="00466721" w:rsidRPr="0071085D">
        <w:rPr>
          <w:lang w:val="en-CA"/>
        </w:rPr>
        <w:t>(re)introduction of condoms in a relationship expected to be monogamous is often perceived as a counter-normative transition</w:t>
      </w:r>
      <w:r w:rsidR="00466721" w:rsidRPr="0071085D">
        <w:rPr>
          <w:lang w:val="en-US"/>
        </w:rPr>
        <w:t>.</w:t>
      </w:r>
      <w:r w:rsidR="00FB4295" w:rsidRPr="0071085D">
        <w:rPr>
          <w:lang w:val="en-CA"/>
        </w:rPr>
        <w:t xml:space="preserve"> </w:t>
      </w:r>
      <w:r w:rsidR="00BE7EF5" w:rsidRPr="0071085D">
        <w:rPr>
          <w:lang w:val="en-CA"/>
        </w:rPr>
        <w:t xml:space="preserve">While it is encouraging that participants in both our </w:t>
      </w:r>
      <w:r w:rsidR="00BE7EF5" w:rsidRPr="0071085D">
        <w:rPr>
          <w:i/>
          <w:lang w:val="en-CA"/>
        </w:rPr>
        <w:t>mid-</w:t>
      </w:r>
      <w:r w:rsidR="00BE7EF5" w:rsidRPr="0071085D">
        <w:rPr>
          <w:lang w:val="en-CA"/>
        </w:rPr>
        <w:t xml:space="preserve"> and </w:t>
      </w:r>
      <w:r w:rsidR="00BE7EF5" w:rsidRPr="0071085D">
        <w:rPr>
          <w:i/>
          <w:lang w:val="en-CA"/>
        </w:rPr>
        <w:t>high-risk</w:t>
      </w:r>
      <w:r w:rsidR="00BE7EF5" w:rsidRPr="0071085D">
        <w:rPr>
          <w:lang w:val="en-CA"/>
        </w:rPr>
        <w:t xml:space="preserve"> profiles reported having been tested significantly more than those in the active low-risk profile</w:t>
      </w:r>
      <w:r w:rsidR="00773FAE" w:rsidRPr="0071085D">
        <w:rPr>
          <w:lang w:val="en-CA"/>
        </w:rPr>
        <w:t>—</w:t>
      </w:r>
      <w:r w:rsidR="00111D2D" w:rsidRPr="0071085D">
        <w:rPr>
          <w:lang w:val="en-CA"/>
        </w:rPr>
        <w:t>which</w:t>
      </w:r>
      <w:r w:rsidR="00BE7EF5" w:rsidRPr="0071085D">
        <w:rPr>
          <w:lang w:val="en-CA"/>
        </w:rPr>
        <w:t xml:space="preserve"> suggest</w:t>
      </w:r>
      <w:r w:rsidR="00111D2D" w:rsidRPr="0071085D">
        <w:rPr>
          <w:lang w:val="en-CA"/>
        </w:rPr>
        <w:t>s</w:t>
      </w:r>
      <w:r w:rsidR="00BE7EF5" w:rsidRPr="0071085D">
        <w:rPr>
          <w:lang w:val="en-CA"/>
        </w:rPr>
        <w:t xml:space="preserve"> that they seek sexual health services when in doubt</w:t>
      </w:r>
      <w:r w:rsidR="00773FAE" w:rsidRPr="0071085D">
        <w:rPr>
          <w:lang w:val="en-CA"/>
        </w:rPr>
        <w:t>—</w:t>
      </w:r>
      <w:r w:rsidR="00A73141" w:rsidRPr="0071085D">
        <w:rPr>
          <w:lang w:val="en-CA"/>
        </w:rPr>
        <w:t>,</w:t>
      </w:r>
      <w:r w:rsidR="00111D2D" w:rsidRPr="0071085D">
        <w:rPr>
          <w:lang w:val="en-CA"/>
        </w:rPr>
        <w:t xml:space="preserve"> </w:t>
      </w:r>
      <w:r w:rsidR="00BE7EF5" w:rsidRPr="0071085D">
        <w:rPr>
          <w:lang w:val="en-CA"/>
        </w:rPr>
        <w:t>the message to regularly get screened for STI</w:t>
      </w:r>
      <w:r w:rsidR="00111D2D" w:rsidRPr="0071085D">
        <w:rPr>
          <w:lang w:val="en-CA"/>
        </w:rPr>
        <w:t>s</w:t>
      </w:r>
      <w:r w:rsidR="00BE7EF5" w:rsidRPr="0071085D">
        <w:rPr>
          <w:lang w:val="en-CA"/>
        </w:rPr>
        <w:t xml:space="preserve"> and to </w:t>
      </w:r>
      <w:r w:rsidR="00111D2D" w:rsidRPr="0071085D">
        <w:rPr>
          <w:lang w:val="en-CA"/>
        </w:rPr>
        <w:t xml:space="preserve">disclose </w:t>
      </w:r>
      <w:r w:rsidR="00BE7EF5" w:rsidRPr="0071085D">
        <w:rPr>
          <w:lang w:val="en-CA"/>
        </w:rPr>
        <w:t xml:space="preserve">positive </w:t>
      </w:r>
      <w:r w:rsidR="00111D2D" w:rsidRPr="0071085D">
        <w:rPr>
          <w:lang w:val="en-CA"/>
        </w:rPr>
        <w:t xml:space="preserve">diagnoses </w:t>
      </w:r>
      <w:r w:rsidR="00BE7EF5" w:rsidRPr="0071085D">
        <w:rPr>
          <w:lang w:val="en-CA"/>
        </w:rPr>
        <w:t xml:space="preserve">to all potentially </w:t>
      </w:r>
      <w:r w:rsidR="00601620" w:rsidRPr="0071085D">
        <w:rPr>
          <w:lang w:val="en-CA"/>
        </w:rPr>
        <w:t>af</w:t>
      </w:r>
      <w:r w:rsidR="00BE7EF5" w:rsidRPr="0071085D">
        <w:rPr>
          <w:lang w:val="en-CA"/>
        </w:rPr>
        <w:t xml:space="preserve">fected partners remains essential for all sexually active emerging adults. </w:t>
      </w:r>
      <w:r w:rsidR="00FB4295" w:rsidRPr="0071085D">
        <w:rPr>
          <w:lang w:val="en-CA"/>
        </w:rPr>
        <w:t xml:space="preserve">Harm reduction interventions should also provide accurate information on the documented effects of each type of substance as well as on their interactions for polysubstance users. </w:t>
      </w:r>
    </w:p>
    <w:p w14:paraId="5CDCBD98" w14:textId="59F311DA" w:rsidR="00710EC5" w:rsidRPr="0071085D" w:rsidRDefault="00E1066B" w:rsidP="00710EC5">
      <w:pPr>
        <w:pStyle w:val="NormalWeb"/>
        <w:spacing w:before="0" w:beforeAutospacing="0" w:after="0" w:afterAutospacing="0" w:line="480" w:lineRule="auto"/>
        <w:ind w:firstLine="709"/>
        <w:rPr>
          <w:lang w:val="en-CA"/>
        </w:rPr>
      </w:pPr>
      <w:r w:rsidRPr="0071085D">
        <w:rPr>
          <w:lang w:val="en-CA"/>
        </w:rPr>
        <w:t xml:space="preserve">Our findings also </w:t>
      </w:r>
      <w:r w:rsidR="003324C0" w:rsidRPr="0071085D">
        <w:rPr>
          <w:lang w:val="en-CA"/>
        </w:rPr>
        <w:t xml:space="preserve">provide guidelines </w:t>
      </w:r>
      <w:r w:rsidR="00ED1B57" w:rsidRPr="0071085D">
        <w:rPr>
          <w:lang w:val="en-CA"/>
        </w:rPr>
        <w:t>to</w:t>
      </w:r>
      <w:r w:rsidR="003324C0" w:rsidRPr="0071085D">
        <w:rPr>
          <w:lang w:val="en-CA"/>
        </w:rPr>
        <w:t xml:space="preserve"> better identif</w:t>
      </w:r>
      <w:r w:rsidR="00ED1B57" w:rsidRPr="0071085D">
        <w:rPr>
          <w:lang w:val="en-CA"/>
        </w:rPr>
        <w:t>y</w:t>
      </w:r>
      <w:r w:rsidR="003324C0" w:rsidRPr="0071085D">
        <w:rPr>
          <w:lang w:val="en-CA"/>
        </w:rPr>
        <w:t xml:space="preserve"> individuals </w:t>
      </w:r>
      <w:r w:rsidR="00ED1B57" w:rsidRPr="0071085D">
        <w:rPr>
          <w:lang w:val="en-CA"/>
        </w:rPr>
        <w:t xml:space="preserve">who may be at </w:t>
      </w:r>
      <w:r w:rsidR="003324C0" w:rsidRPr="0071085D">
        <w:rPr>
          <w:lang w:val="en-CA"/>
        </w:rPr>
        <w:t xml:space="preserve">high risk of engaging in behaviors </w:t>
      </w:r>
      <w:r w:rsidR="00ED1B57" w:rsidRPr="0071085D">
        <w:rPr>
          <w:lang w:val="en-CA"/>
        </w:rPr>
        <w:t xml:space="preserve">that are </w:t>
      </w:r>
      <w:r w:rsidR="003324C0" w:rsidRPr="0071085D">
        <w:rPr>
          <w:lang w:val="en-CA"/>
        </w:rPr>
        <w:t xml:space="preserve">detrimental to their </w:t>
      </w:r>
      <w:r w:rsidR="002A3883" w:rsidRPr="0071085D">
        <w:rPr>
          <w:lang w:val="en-CA"/>
        </w:rPr>
        <w:t>health and</w:t>
      </w:r>
      <w:r w:rsidR="006761BB" w:rsidRPr="0071085D">
        <w:rPr>
          <w:lang w:val="en-CA"/>
        </w:rPr>
        <w:t xml:space="preserve"> suggest that interventions aiming at preventing </w:t>
      </w:r>
      <w:r w:rsidR="0090573F" w:rsidRPr="0071085D">
        <w:rPr>
          <w:lang w:val="en-CA"/>
        </w:rPr>
        <w:t>risk-taking</w:t>
      </w:r>
      <w:r w:rsidR="006761BB" w:rsidRPr="0071085D">
        <w:rPr>
          <w:lang w:val="en-CA"/>
        </w:rPr>
        <w:t xml:space="preserve"> and </w:t>
      </w:r>
      <w:r w:rsidR="00103D33" w:rsidRPr="0071085D">
        <w:rPr>
          <w:lang w:val="en-CA"/>
        </w:rPr>
        <w:t xml:space="preserve">at </w:t>
      </w:r>
      <w:r w:rsidR="006761BB" w:rsidRPr="0071085D">
        <w:rPr>
          <w:lang w:val="en-CA"/>
        </w:rPr>
        <w:t xml:space="preserve">promoting health should be </w:t>
      </w:r>
      <w:r w:rsidR="00FB4295" w:rsidRPr="0071085D">
        <w:rPr>
          <w:lang w:val="en-CA"/>
        </w:rPr>
        <w:t xml:space="preserve">designed and </w:t>
      </w:r>
      <w:r w:rsidR="006761BB" w:rsidRPr="0071085D">
        <w:rPr>
          <w:lang w:val="en-CA"/>
        </w:rPr>
        <w:t xml:space="preserve">tailored </w:t>
      </w:r>
      <w:r w:rsidR="00FB4295" w:rsidRPr="0071085D">
        <w:rPr>
          <w:lang w:val="en-CA"/>
        </w:rPr>
        <w:t xml:space="preserve">to each profile. </w:t>
      </w:r>
      <w:r w:rsidR="00103D33" w:rsidRPr="0071085D">
        <w:rPr>
          <w:lang w:val="en-CA"/>
        </w:rPr>
        <w:t>Specifically, w</w:t>
      </w:r>
      <w:r w:rsidR="006761BB" w:rsidRPr="0071085D">
        <w:rPr>
          <w:lang w:val="en-CA"/>
        </w:rPr>
        <w:t>hile the</w:t>
      </w:r>
      <w:r w:rsidR="00FB4295" w:rsidRPr="0071085D">
        <w:rPr>
          <w:lang w:val="en-CA"/>
        </w:rPr>
        <w:t xml:space="preserve"> </w:t>
      </w:r>
      <w:r w:rsidR="006761BB" w:rsidRPr="0071085D">
        <w:rPr>
          <w:lang w:val="en-CA"/>
        </w:rPr>
        <w:t>needs of low</w:t>
      </w:r>
      <w:r w:rsidR="00ED1B57" w:rsidRPr="0071085D">
        <w:rPr>
          <w:lang w:val="en-CA"/>
        </w:rPr>
        <w:t>-</w:t>
      </w:r>
      <w:r w:rsidR="006761BB" w:rsidRPr="0071085D">
        <w:rPr>
          <w:lang w:val="en-CA"/>
        </w:rPr>
        <w:t>risk</w:t>
      </w:r>
      <w:r w:rsidR="00ED1B57" w:rsidRPr="0071085D">
        <w:rPr>
          <w:lang w:val="en-CA"/>
        </w:rPr>
        <w:t xml:space="preserve"> </w:t>
      </w:r>
      <w:r w:rsidR="006761BB" w:rsidRPr="0071085D">
        <w:rPr>
          <w:lang w:val="en-CA"/>
        </w:rPr>
        <w:t xml:space="preserve">takers may be well addressed by primary </w:t>
      </w:r>
      <w:r w:rsidR="00FB4295" w:rsidRPr="0071085D">
        <w:rPr>
          <w:lang w:val="en-CA"/>
        </w:rPr>
        <w:t xml:space="preserve">and universal health promotion programs </w:t>
      </w:r>
      <w:r w:rsidR="00ED1B57" w:rsidRPr="0071085D">
        <w:rPr>
          <w:lang w:val="en-CA"/>
        </w:rPr>
        <w:t xml:space="preserve">that </w:t>
      </w:r>
      <w:r w:rsidR="00FB4295" w:rsidRPr="0071085D">
        <w:rPr>
          <w:lang w:val="en-CA"/>
        </w:rPr>
        <w:t>dissemina</w:t>
      </w:r>
      <w:r w:rsidR="00ED1B57" w:rsidRPr="0071085D">
        <w:rPr>
          <w:lang w:val="en-CA"/>
        </w:rPr>
        <w:t>te</w:t>
      </w:r>
      <w:r w:rsidR="00FB4295" w:rsidRPr="0071085D">
        <w:rPr>
          <w:lang w:val="en-CA"/>
        </w:rPr>
        <w:t xml:space="preserve"> effective protective strategies</w:t>
      </w:r>
      <w:r w:rsidR="006761BB" w:rsidRPr="0071085D">
        <w:rPr>
          <w:lang w:val="en-CA"/>
        </w:rPr>
        <w:t>, mid- and high-risk</w:t>
      </w:r>
      <w:r w:rsidR="00A73141" w:rsidRPr="0071085D">
        <w:rPr>
          <w:lang w:val="en-CA"/>
        </w:rPr>
        <w:t>-</w:t>
      </w:r>
      <w:r w:rsidR="006761BB" w:rsidRPr="0071085D">
        <w:rPr>
          <w:lang w:val="en-CA"/>
        </w:rPr>
        <w:t xml:space="preserve">takers </w:t>
      </w:r>
      <w:r w:rsidR="00FB4295" w:rsidRPr="0071085D">
        <w:rPr>
          <w:lang w:val="en-CA"/>
        </w:rPr>
        <w:t>would probably</w:t>
      </w:r>
      <w:r w:rsidR="006761BB" w:rsidRPr="0071085D">
        <w:rPr>
          <w:lang w:val="en-CA"/>
        </w:rPr>
        <w:t xml:space="preserve"> benefit from more intensive interventions</w:t>
      </w:r>
      <w:r w:rsidR="000241E1" w:rsidRPr="0071085D">
        <w:rPr>
          <w:lang w:val="en-CA"/>
        </w:rPr>
        <w:t xml:space="preserve"> simultaneously </w:t>
      </w:r>
      <w:r w:rsidR="00A468FF" w:rsidRPr="0071085D">
        <w:rPr>
          <w:lang w:val="en-CA"/>
        </w:rPr>
        <w:t>address</w:t>
      </w:r>
      <w:r w:rsidR="000241E1" w:rsidRPr="0071085D">
        <w:rPr>
          <w:lang w:val="en-CA"/>
        </w:rPr>
        <w:t xml:space="preserve">ing sexuality and substance use related </w:t>
      </w:r>
      <w:r w:rsidR="00A468FF" w:rsidRPr="0071085D">
        <w:rPr>
          <w:lang w:val="en-CA"/>
        </w:rPr>
        <w:t>behavior</w:t>
      </w:r>
      <w:r w:rsidR="000241E1" w:rsidRPr="0071085D">
        <w:rPr>
          <w:lang w:val="en-CA"/>
        </w:rPr>
        <w:t>s</w:t>
      </w:r>
      <w:r w:rsidR="00A468FF" w:rsidRPr="0071085D">
        <w:rPr>
          <w:lang w:val="en-CA"/>
        </w:rPr>
        <w:t xml:space="preserve"> (e.g., carrying condoms in all festive activities)</w:t>
      </w:r>
      <w:r w:rsidR="006761BB" w:rsidRPr="0071085D">
        <w:rPr>
          <w:lang w:val="en-CA"/>
        </w:rPr>
        <w:t xml:space="preserve">. </w:t>
      </w:r>
      <w:r w:rsidRPr="0071085D">
        <w:rPr>
          <w:lang w:val="en-CA"/>
        </w:rPr>
        <w:t xml:space="preserve">Since two thirds of the participants in our high risk-taking profile engaged in early sex, those high-risk individuals could potentially be screened and identified in early and mid-adolescence. Furthermore, </w:t>
      </w:r>
      <w:r w:rsidR="00133EB2" w:rsidRPr="0071085D">
        <w:rPr>
          <w:lang w:val="en-CA"/>
        </w:rPr>
        <w:t xml:space="preserve">high risk-taking </w:t>
      </w:r>
      <w:r w:rsidRPr="0071085D">
        <w:rPr>
          <w:lang w:val="en-CA"/>
        </w:rPr>
        <w:t xml:space="preserve">behaviors </w:t>
      </w:r>
      <w:r w:rsidR="00133EB2" w:rsidRPr="0071085D">
        <w:rPr>
          <w:lang w:val="en-CA"/>
        </w:rPr>
        <w:t>in emerging adulthood ha</w:t>
      </w:r>
      <w:r w:rsidRPr="0071085D">
        <w:rPr>
          <w:lang w:val="en-CA"/>
        </w:rPr>
        <w:t>ve</w:t>
      </w:r>
      <w:r w:rsidR="00133EB2" w:rsidRPr="0071085D">
        <w:rPr>
          <w:lang w:val="en-CA"/>
        </w:rPr>
        <w:t xml:space="preserve"> personality-related proxies</w:t>
      </w:r>
      <w:r w:rsidR="0009703B" w:rsidRPr="0071085D">
        <w:rPr>
          <w:lang w:val="en-CA"/>
        </w:rPr>
        <w:t>,</w:t>
      </w:r>
      <w:r w:rsidRPr="0071085D">
        <w:rPr>
          <w:lang w:val="en-CA"/>
        </w:rPr>
        <w:t xml:space="preserve"> such as impulse control difficulties,</w:t>
      </w:r>
      <w:r w:rsidR="00133EB2" w:rsidRPr="0071085D">
        <w:rPr>
          <w:lang w:val="en-CA"/>
        </w:rPr>
        <w:t xml:space="preserve"> that </w:t>
      </w:r>
      <w:r w:rsidR="0009703B" w:rsidRPr="0071085D">
        <w:rPr>
          <w:lang w:val="en-CA"/>
        </w:rPr>
        <w:t xml:space="preserve">could </w:t>
      </w:r>
      <w:r w:rsidRPr="0071085D">
        <w:rPr>
          <w:lang w:val="en-CA"/>
        </w:rPr>
        <w:t>potentially</w:t>
      </w:r>
      <w:r w:rsidR="00133EB2" w:rsidRPr="0071085D">
        <w:rPr>
          <w:lang w:val="en-CA"/>
        </w:rPr>
        <w:t xml:space="preserve"> </w:t>
      </w:r>
      <w:r w:rsidRPr="0071085D">
        <w:rPr>
          <w:lang w:val="en-CA"/>
        </w:rPr>
        <w:t xml:space="preserve">be effectively </w:t>
      </w:r>
      <w:r w:rsidR="00133EB2" w:rsidRPr="0071085D">
        <w:rPr>
          <w:lang w:val="en-CA"/>
        </w:rPr>
        <w:t>addressed therapeutically</w:t>
      </w:r>
      <w:r w:rsidRPr="0071085D">
        <w:rPr>
          <w:lang w:val="en-CA"/>
        </w:rPr>
        <w:t xml:space="preserve">, </w:t>
      </w:r>
      <w:r w:rsidR="0009703B" w:rsidRPr="0071085D">
        <w:rPr>
          <w:lang w:val="en-CA"/>
        </w:rPr>
        <w:t xml:space="preserve">and be minimized </w:t>
      </w:r>
      <w:r w:rsidR="00133EB2" w:rsidRPr="0071085D">
        <w:rPr>
          <w:lang w:val="en-CA"/>
        </w:rPr>
        <w:t>by learning alternative strategies (</w:t>
      </w:r>
      <w:r w:rsidR="00A468FF" w:rsidRPr="0071085D">
        <w:rPr>
          <w:lang w:val="en-CA"/>
        </w:rPr>
        <w:t>e.g</w:t>
      </w:r>
      <w:r w:rsidR="00133EB2" w:rsidRPr="0071085D">
        <w:rPr>
          <w:lang w:val="en-CA"/>
        </w:rPr>
        <w:t>.</w:t>
      </w:r>
      <w:r w:rsidR="00A468FF" w:rsidRPr="0071085D">
        <w:rPr>
          <w:lang w:val="en-CA"/>
        </w:rPr>
        <w:t>,</w:t>
      </w:r>
      <w:r w:rsidR="00133EB2" w:rsidRPr="0071085D">
        <w:rPr>
          <w:lang w:val="en-CA"/>
        </w:rPr>
        <w:t xml:space="preserve"> physical activit</w:t>
      </w:r>
      <w:r w:rsidR="00A73141" w:rsidRPr="0071085D">
        <w:rPr>
          <w:lang w:val="en-CA"/>
        </w:rPr>
        <w:t>y</w:t>
      </w:r>
      <w:r w:rsidR="00133EB2" w:rsidRPr="0071085D">
        <w:rPr>
          <w:lang w:val="en-CA"/>
        </w:rPr>
        <w:t>, relaxatio</w:t>
      </w:r>
      <w:r w:rsidR="002B14EE" w:rsidRPr="0071085D">
        <w:rPr>
          <w:lang w:val="en-CA"/>
        </w:rPr>
        <w:t xml:space="preserve">n, mindfulness, etc.). </w:t>
      </w:r>
      <w:r w:rsidR="0015416A" w:rsidRPr="0071085D">
        <w:rPr>
          <w:lang w:val="en-CA"/>
        </w:rPr>
        <w:t>Therefore, these findings yield implications for practitioners, sex therapists and researchers working to improve emerging adults’ health.</w:t>
      </w:r>
    </w:p>
    <w:p w14:paraId="2308DA0D" w14:textId="3DCE58A5" w:rsidR="00E929D5" w:rsidRPr="0071085D" w:rsidRDefault="00E929D5" w:rsidP="00E929D5">
      <w:pPr>
        <w:pStyle w:val="NormalWeb"/>
        <w:spacing w:before="0" w:beforeAutospacing="0" w:after="0" w:afterAutospacing="0" w:line="480" w:lineRule="auto"/>
        <w:rPr>
          <w:lang w:val="en-CA"/>
        </w:rPr>
      </w:pPr>
      <w:r w:rsidRPr="0071085D">
        <w:rPr>
          <w:b/>
          <w:bCs/>
          <w:color w:val="333333"/>
          <w:shd w:val="clear" w:color="auto" w:fill="FCFCFC"/>
          <w:lang w:val="en-CA"/>
        </w:rPr>
        <w:lastRenderedPageBreak/>
        <w:t>Data availability statement</w:t>
      </w:r>
      <w:r w:rsidRPr="0071085D">
        <w:rPr>
          <w:color w:val="333333"/>
          <w:shd w:val="clear" w:color="auto" w:fill="FCFCFC"/>
          <w:lang w:val="en-CA"/>
        </w:rPr>
        <w:t>. The datasets generated during and/or analysed during the current study are available from the corresponding author on reasonable request.</w:t>
      </w:r>
    </w:p>
    <w:p w14:paraId="5F09DBF1" w14:textId="01BE05B4" w:rsidR="00964DD3" w:rsidRPr="0071085D" w:rsidRDefault="00180F6B" w:rsidP="00000B4D">
      <w:pPr>
        <w:jc w:val="center"/>
        <w:rPr>
          <w:b/>
          <w:lang w:val="en-CA"/>
        </w:rPr>
      </w:pPr>
      <w:r w:rsidRPr="0071085D">
        <w:rPr>
          <w:b/>
          <w:lang w:val="en-CA"/>
        </w:rPr>
        <w:br w:type="page"/>
      </w:r>
      <w:r w:rsidR="003C6585" w:rsidRPr="0071085D">
        <w:rPr>
          <w:b/>
          <w:lang w:val="en-CA"/>
        </w:rPr>
        <w:lastRenderedPageBreak/>
        <w:t>Refe</w:t>
      </w:r>
      <w:r w:rsidR="00964DD3" w:rsidRPr="0071085D">
        <w:rPr>
          <w:b/>
          <w:lang w:val="en-CA"/>
        </w:rPr>
        <w:t>rences</w:t>
      </w:r>
    </w:p>
    <w:p w14:paraId="0AB196E7" w14:textId="7914D27C" w:rsidR="003F34DC" w:rsidRPr="0071085D" w:rsidRDefault="003F34DC" w:rsidP="002A3883">
      <w:pPr>
        <w:widowControl w:val="0"/>
        <w:spacing w:after="0" w:line="480" w:lineRule="auto"/>
        <w:ind w:left="426" w:hanging="426"/>
        <w:contextualSpacing/>
        <w:rPr>
          <w:lang w:val="en-CA"/>
        </w:rPr>
      </w:pPr>
      <w:r w:rsidRPr="0071085D">
        <w:rPr>
          <w:rFonts w:eastAsia="Times New Roman"/>
          <w:lang w:val="en-US"/>
        </w:rPr>
        <w:t>Adamopoulou, E. (2013)</w:t>
      </w:r>
      <w:r w:rsidR="000B5AB0" w:rsidRPr="0071085D">
        <w:rPr>
          <w:rFonts w:eastAsia="Times New Roman"/>
          <w:lang w:val="en-US"/>
        </w:rPr>
        <w:t>.</w:t>
      </w:r>
      <w:r w:rsidRPr="0071085D">
        <w:rPr>
          <w:rFonts w:eastAsia="Times New Roman"/>
          <w:lang w:val="en-US"/>
        </w:rPr>
        <w:t xml:space="preserve"> New facts on infidelity. </w:t>
      </w:r>
      <w:r w:rsidRPr="0071085D">
        <w:rPr>
          <w:rFonts w:eastAsia="Times New Roman"/>
          <w:i/>
          <w:lang w:val="en-US"/>
        </w:rPr>
        <w:t>Economic Letters, 121</w:t>
      </w:r>
      <w:r w:rsidRPr="0071085D">
        <w:rPr>
          <w:rFonts w:eastAsia="Times New Roman"/>
          <w:lang w:val="en-US"/>
        </w:rPr>
        <w:t xml:space="preserve">(3), 458-462. </w:t>
      </w:r>
    </w:p>
    <w:p w14:paraId="2D37711B" w14:textId="014C9F23" w:rsidR="00D2664C" w:rsidRPr="0071085D" w:rsidRDefault="00D2664C" w:rsidP="002A3883">
      <w:pPr>
        <w:widowControl w:val="0"/>
        <w:spacing w:after="0" w:line="480" w:lineRule="auto"/>
        <w:ind w:left="426" w:hanging="426"/>
        <w:contextualSpacing/>
        <w:rPr>
          <w:lang w:val="en-CA"/>
        </w:rPr>
      </w:pPr>
      <w:proofErr w:type="spellStart"/>
      <w:r w:rsidRPr="0071085D">
        <w:rPr>
          <w:lang w:val="en-CA"/>
        </w:rPr>
        <w:t>Aluja</w:t>
      </w:r>
      <w:proofErr w:type="spellEnd"/>
      <w:r w:rsidRPr="0071085D">
        <w:rPr>
          <w:lang w:val="en-CA"/>
        </w:rPr>
        <w:t xml:space="preserve">, A., Rossier, J., García, L. F., </w:t>
      </w:r>
      <w:proofErr w:type="spellStart"/>
      <w:r w:rsidRPr="0071085D">
        <w:rPr>
          <w:lang w:val="en-CA"/>
        </w:rPr>
        <w:t>Angleitner</w:t>
      </w:r>
      <w:proofErr w:type="spellEnd"/>
      <w:r w:rsidRPr="0071085D">
        <w:rPr>
          <w:lang w:val="en-CA"/>
        </w:rPr>
        <w:t xml:space="preserve">, A., Kuhlman, M., &amp; Zuckerman, M. (2006). A cross-cultural shortened form of the ZKPQ (ZKPQ-50-CC) adapted to English, French, German and Spanish languages. </w:t>
      </w:r>
      <w:r w:rsidRPr="0071085D">
        <w:rPr>
          <w:i/>
          <w:lang w:val="en-CA"/>
        </w:rPr>
        <w:t>Personality and Individual Difference, 41</w:t>
      </w:r>
      <w:r w:rsidRPr="0071085D">
        <w:rPr>
          <w:lang w:val="en-CA"/>
        </w:rPr>
        <w:t>, 619–628.</w:t>
      </w:r>
      <w:r w:rsidR="0061739E" w:rsidRPr="0071085D">
        <w:rPr>
          <w:lang w:val="en-CA"/>
        </w:rPr>
        <w:t xml:space="preserve"> </w:t>
      </w:r>
    </w:p>
    <w:p w14:paraId="7579EBD3" w14:textId="453FFE2B" w:rsidR="0010761D" w:rsidRPr="0071085D" w:rsidRDefault="0010761D" w:rsidP="002A3883">
      <w:pPr>
        <w:widowControl w:val="0"/>
        <w:spacing w:after="0" w:line="480" w:lineRule="auto"/>
        <w:ind w:left="426" w:hanging="426"/>
        <w:contextualSpacing/>
        <w:rPr>
          <w:lang w:val="en-CA"/>
        </w:rPr>
      </w:pPr>
      <w:r w:rsidRPr="0071085D">
        <w:rPr>
          <w:lang w:val="en-CA"/>
        </w:rPr>
        <w:t xml:space="preserve">Arnett, J. J. (2000). Emerging adulthood: A theory of development from the late teens through the twenties. </w:t>
      </w:r>
      <w:r w:rsidRPr="0071085D">
        <w:rPr>
          <w:i/>
          <w:lang w:val="en-CA"/>
        </w:rPr>
        <w:t>American psychologist, 55</w:t>
      </w:r>
      <w:r w:rsidRPr="0071085D">
        <w:rPr>
          <w:lang w:val="en-CA"/>
        </w:rPr>
        <w:t>(5), 469.</w:t>
      </w:r>
    </w:p>
    <w:p w14:paraId="28592609" w14:textId="34DACB12" w:rsidR="000E235A" w:rsidRPr="0071085D" w:rsidRDefault="000E235A" w:rsidP="002A3883">
      <w:pPr>
        <w:widowControl w:val="0"/>
        <w:spacing w:after="0" w:line="480" w:lineRule="auto"/>
        <w:ind w:left="426" w:hanging="426"/>
        <w:contextualSpacing/>
        <w:rPr>
          <w:lang w:val="en-CA"/>
        </w:rPr>
      </w:pPr>
      <w:proofErr w:type="spellStart"/>
      <w:r w:rsidRPr="0071085D">
        <w:rPr>
          <w:rStyle w:val="Accentuation"/>
          <w:bCs/>
          <w:i w:val="0"/>
          <w:iCs w:val="0"/>
          <w:shd w:val="clear" w:color="auto" w:fill="FFFFFF"/>
          <w:lang w:val="en-CA"/>
        </w:rPr>
        <w:t>Asparouhov</w:t>
      </w:r>
      <w:proofErr w:type="spellEnd"/>
      <w:r w:rsidRPr="0071085D">
        <w:rPr>
          <w:shd w:val="clear" w:color="auto" w:fill="FFFFFF"/>
          <w:lang w:val="en-CA"/>
        </w:rPr>
        <w:t>,</w:t>
      </w:r>
      <w:r w:rsidRPr="0071085D">
        <w:rPr>
          <w:rStyle w:val="apple-converted-space"/>
          <w:shd w:val="clear" w:color="auto" w:fill="FFFFFF"/>
          <w:lang w:val="en-CA"/>
        </w:rPr>
        <w:t> </w:t>
      </w:r>
      <w:r w:rsidRPr="0071085D">
        <w:rPr>
          <w:rStyle w:val="Accentuation"/>
          <w:bCs/>
          <w:i w:val="0"/>
          <w:iCs w:val="0"/>
          <w:shd w:val="clear" w:color="auto" w:fill="FFFFFF"/>
          <w:lang w:val="en-CA"/>
        </w:rPr>
        <w:t>T</w:t>
      </w:r>
      <w:r w:rsidRPr="0071085D">
        <w:rPr>
          <w:shd w:val="clear" w:color="auto" w:fill="FFFFFF"/>
          <w:lang w:val="en-CA"/>
        </w:rPr>
        <w:t>.</w:t>
      </w:r>
      <w:r w:rsidR="00C170CB" w:rsidRPr="0071085D">
        <w:rPr>
          <w:shd w:val="clear" w:color="auto" w:fill="FFFFFF"/>
          <w:lang w:val="en-CA"/>
        </w:rPr>
        <w:t>,</w:t>
      </w:r>
      <w:r w:rsidRPr="0071085D">
        <w:rPr>
          <w:shd w:val="clear" w:color="auto" w:fill="FFFFFF"/>
          <w:lang w:val="en-CA"/>
        </w:rPr>
        <w:t xml:space="preserve"> &amp;</w:t>
      </w:r>
      <w:r w:rsidRPr="0071085D">
        <w:rPr>
          <w:rStyle w:val="apple-converted-space"/>
          <w:shd w:val="clear" w:color="auto" w:fill="FFFFFF"/>
          <w:lang w:val="en-CA"/>
        </w:rPr>
        <w:t> </w:t>
      </w:r>
      <w:proofErr w:type="spellStart"/>
      <w:r w:rsidRPr="0071085D">
        <w:rPr>
          <w:rStyle w:val="Accentuation"/>
          <w:bCs/>
          <w:i w:val="0"/>
          <w:iCs w:val="0"/>
          <w:shd w:val="clear" w:color="auto" w:fill="FFFFFF"/>
          <w:lang w:val="en-CA"/>
        </w:rPr>
        <w:t>Muthén</w:t>
      </w:r>
      <w:proofErr w:type="spellEnd"/>
      <w:r w:rsidRPr="0071085D">
        <w:rPr>
          <w:shd w:val="clear" w:color="auto" w:fill="FFFFFF"/>
          <w:lang w:val="en-CA"/>
        </w:rPr>
        <w:t>,</w:t>
      </w:r>
      <w:r w:rsidRPr="0071085D">
        <w:rPr>
          <w:rStyle w:val="apple-converted-space"/>
          <w:shd w:val="clear" w:color="auto" w:fill="FFFFFF"/>
          <w:lang w:val="en-CA"/>
        </w:rPr>
        <w:t> </w:t>
      </w:r>
      <w:r w:rsidRPr="0071085D">
        <w:rPr>
          <w:rStyle w:val="Accentuation"/>
          <w:bCs/>
          <w:i w:val="0"/>
          <w:iCs w:val="0"/>
          <w:shd w:val="clear" w:color="auto" w:fill="FFFFFF"/>
          <w:lang w:val="en-CA"/>
        </w:rPr>
        <w:t>B</w:t>
      </w:r>
      <w:r w:rsidRPr="0071085D">
        <w:rPr>
          <w:shd w:val="clear" w:color="auto" w:fill="FFFFFF"/>
          <w:lang w:val="en-CA"/>
        </w:rPr>
        <w:t xml:space="preserve">. </w:t>
      </w:r>
      <w:r w:rsidRPr="0071085D">
        <w:rPr>
          <w:lang w:val="en-CA"/>
        </w:rPr>
        <w:t>(2014)</w:t>
      </w:r>
      <w:r w:rsidR="004467E5" w:rsidRPr="0071085D">
        <w:rPr>
          <w:lang w:val="en-CA"/>
        </w:rPr>
        <w:t>.</w:t>
      </w:r>
      <w:r w:rsidRPr="0071085D">
        <w:rPr>
          <w:lang w:val="en-CA"/>
        </w:rPr>
        <w:t xml:space="preserve"> Auxiliary Variables in Mixture Modeling: Three-Step Approaches Using </w:t>
      </w:r>
      <w:proofErr w:type="spellStart"/>
      <w:r w:rsidRPr="0071085D">
        <w:rPr>
          <w:lang w:val="en-CA"/>
        </w:rPr>
        <w:t>Mplus</w:t>
      </w:r>
      <w:proofErr w:type="spellEnd"/>
      <w:r w:rsidR="006D1CE9" w:rsidRPr="0071085D">
        <w:rPr>
          <w:lang w:val="en-CA"/>
        </w:rPr>
        <w:t>.</w:t>
      </w:r>
      <w:r w:rsidRPr="0071085D">
        <w:rPr>
          <w:lang w:val="en-CA"/>
        </w:rPr>
        <w:t xml:space="preserve"> </w:t>
      </w:r>
      <w:r w:rsidRPr="0071085D">
        <w:rPr>
          <w:i/>
          <w:lang w:val="en-CA"/>
        </w:rPr>
        <w:t>Structural Equation Modeling: A Multidisciplinary Jour</w:t>
      </w:r>
      <w:r w:rsidR="002873D5" w:rsidRPr="0071085D">
        <w:rPr>
          <w:i/>
          <w:lang w:val="en-CA"/>
        </w:rPr>
        <w:t>nal, 21</w:t>
      </w:r>
      <w:r w:rsidR="004467E5" w:rsidRPr="0071085D">
        <w:rPr>
          <w:lang w:val="en-CA"/>
        </w:rPr>
        <w:t>(3), 329-341.</w:t>
      </w:r>
    </w:p>
    <w:p w14:paraId="66FDB8DD" w14:textId="25EFD492" w:rsidR="00C170CB" w:rsidRPr="0071085D" w:rsidRDefault="00C170CB" w:rsidP="002A3883">
      <w:pPr>
        <w:widowControl w:val="0"/>
        <w:spacing w:after="0" w:line="480" w:lineRule="auto"/>
        <w:ind w:left="426" w:hanging="426"/>
        <w:contextualSpacing/>
        <w:rPr>
          <w:lang w:val="en-CA"/>
        </w:rPr>
      </w:pPr>
      <w:proofErr w:type="spellStart"/>
      <w:r w:rsidRPr="0071085D">
        <w:rPr>
          <w:lang w:val="en-CA"/>
        </w:rPr>
        <w:t>Asparouhov</w:t>
      </w:r>
      <w:proofErr w:type="spellEnd"/>
      <w:r w:rsidR="001340C9" w:rsidRPr="0071085D">
        <w:rPr>
          <w:lang w:val="en-CA"/>
        </w:rPr>
        <w:t>,</w:t>
      </w:r>
      <w:r w:rsidRPr="0071085D">
        <w:rPr>
          <w:lang w:val="en-CA"/>
        </w:rPr>
        <w:t xml:space="preserve"> T., &amp;</w:t>
      </w:r>
      <w:r w:rsidR="001A617F" w:rsidRPr="0071085D">
        <w:rPr>
          <w:lang w:val="en-CA"/>
        </w:rPr>
        <w:t xml:space="preserve"> </w:t>
      </w:r>
      <w:proofErr w:type="spellStart"/>
      <w:r w:rsidR="001A617F" w:rsidRPr="0071085D">
        <w:rPr>
          <w:lang w:val="en-CA"/>
        </w:rPr>
        <w:t>Muthén</w:t>
      </w:r>
      <w:proofErr w:type="spellEnd"/>
      <w:r w:rsidR="001340C9" w:rsidRPr="0071085D">
        <w:rPr>
          <w:lang w:val="en-CA"/>
        </w:rPr>
        <w:t>,</w:t>
      </w:r>
      <w:r w:rsidR="001A617F" w:rsidRPr="0071085D">
        <w:rPr>
          <w:lang w:val="en-CA"/>
        </w:rPr>
        <w:t xml:space="preserve"> B. (2015</w:t>
      </w:r>
      <w:r w:rsidRPr="0071085D">
        <w:rPr>
          <w:lang w:val="en-CA"/>
        </w:rPr>
        <w:t xml:space="preserve">). Auxiliary variables in mixture modeling: Using the BCH method in </w:t>
      </w:r>
      <w:proofErr w:type="spellStart"/>
      <w:r w:rsidRPr="0071085D">
        <w:rPr>
          <w:lang w:val="en-CA"/>
        </w:rPr>
        <w:t>Mplus</w:t>
      </w:r>
      <w:proofErr w:type="spellEnd"/>
      <w:r w:rsidRPr="0071085D">
        <w:rPr>
          <w:lang w:val="en-CA"/>
        </w:rPr>
        <w:t xml:space="preserve"> to estimate a distal outcome model and an arbitrary second model. </w:t>
      </w:r>
      <w:proofErr w:type="spellStart"/>
      <w:r w:rsidRPr="0071085D">
        <w:rPr>
          <w:i/>
          <w:lang w:val="en-CA"/>
        </w:rPr>
        <w:t>Mplus</w:t>
      </w:r>
      <w:proofErr w:type="spellEnd"/>
      <w:r w:rsidRPr="0071085D">
        <w:rPr>
          <w:i/>
          <w:lang w:val="en-CA"/>
        </w:rPr>
        <w:t xml:space="preserve"> Web Notes: No. 21</w:t>
      </w:r>
      <w:r w:rsidRPr="0071085D">
        <w:rPr>
          <w:lang w:val="en-CA"/>
        </w:rPr>
        <w:t xml:space="preserve">. </w:t>
      </w:r>
    </w:p>
    <w:p w14:paraId="7DC41223" w14:textId="3B354ADE" w:rsidR="00C170CB" w:rsidRPr="0071085D" w:rsidRDefault="00C170CB" w:rsidP="002A3883">
      <w:pPr>
        <w:widowControl w:val="0"/>
        <w:spacing w:after="0" w:line="480" w:lineRule="auto"/>
        <w:ind w:left="426" w:hanging="426"/>
        <w:contextualSpacing/>
        <w:rPr>
          <w:shd w:val="clear" w:color="auto" w:fill="FFFFFF"/>
          <w:lang w:val="en-CA"/>
        </w:rPr>
      </w:pPr>
      <w:r w:rsidRPr="0071085D">
        <w:rPr>
          <w:shd w:val="clear" w:color="auto" w:fill="FFFFFF"/>
          <w:lang w:val="en-CA"/>
        </w:rPr>
        <w:t xml:space="preserve">Bakk, Z., &amp; </w:t>
      </w:r>
      <w:proofErr w:type="spellStart"/>
      <w:r w:rsidRPr="0071085D">
        <w:rPr>
          <w:shd w:val="clear" w:color="auto" w:fill="FFFFFF"/>
          <w:lang w:val="en-CA"/>
        </w:rPr>
        <w:t>Vermunt</w:t>
      </w:r>
      <w:proofErr w:type="spellEnd"/>
      <w:r w:rsidRPr="0071085D">
        <w:rPr>
          <w:shd w:val="clear" w:color="auto" w:fill="FFFFFF"/>
          <w:lang w:val="en-CA"/>
        </w:rPr>
        <w:t xml:space="preserve">, J. K. (2016). Robustness of stepwise latent class modeling with continuous distal outcomes. </w:t>
      </w:r>
      <w:r w:rsidRPr="0071085D">
        <w:rPr>
          <w:i/>
          <w:shd w:val="clear" w:color="auto" w:fill="FFFFFF"/>
          <w:lang w:val="en-CA"/>
        </w:rPr>
        <w:t>Structural Equation Modeling, 23</w:t>
      </w:r>
      <w:r w:rsidRPr="0071085D">
        <w:rPr>
          <w:shd w:val="clear" w:color="auto" w:fill="FFFFFF"/>
          <w:lang w:val="en-CA"/>
        </w:rPr>
        <w:t>(1), 20-31.</w:t>
      </w:r>
    </w:p>
    <w:p w14:paraId="03F2F49A" w14:textId="6F3DD801" w:rsidR="001340C9" w:rsidRPr="0071085D" w:rsidRDefault="001340C9" w:rsidP="002A3883">
      <w:pPr>
        <w:widowControl w:val="0"/>
        <w:spacing w:after="0" w:line="480" w:lineRule="auto"/>
        <w:ind w:left="426" w:hanging="426"/>
        <w:contextualSpacing/>
        <w:rPr>
          <w:shd w:val="clear" w:color="auto" w:fill="FFFFFF"/>
          <w:lang w:val="en-CA"/>
        </w:rPr>
      </w:pPr>
      <w:r w:rsidRPr="0071085D">
        <w:rPr>
          <w:shd w:val="clear" w:color="auto" w:fill="FFFFFF"/>
          <w:lang w:val="en-CA"/>
        </w:rPr>
        <w:t xml:space="preserve">Beadnell, B., Morrison, D. M., Wilsdon, A., Wells, E. A., </w:t>
      </w:r>
      <w:proofErr w:type="spellStart"/>
      <w:r w:rsidRPr="0071085D">
        <w:rPr>
          <w:shd w:val="clear" w:color="auto" w:fill="FFFFFF"/>
          <w:lang w:val="en-CA"/>
        </w:rPr>
        <w:t>Murowchick</w:t>
      </w:r>
      <w:proofErr w:type="spellEnd"/>
      <w:r w:rsidRPr="0071085D">
        <w:rPr>
          <w:shd w:val="clear" w:color="auto" w:fill="FFFFFF"/>
          <w:lang w:val="en-CA"/>
        </w:rPr>
        <w:t xml:space="preserve">, E., Hoppe, M., ... Nahom, D. (2005). Condom use, frequency of sex, and number of partners: Multidimensional characterization of adolescent sexual risk‐taking. </w:t>
      </w:r>
      <w:r w:rsidRPr="0071085D">
        <w:rPr>
          <w:i/>
          <w:shd w:val="clear" w:color="auto" w:fill="FFFFFF"/>
          <w:lang w:val="en-CA"/>
        </w:rPr>
        <w:t>Journal of Sex Research, 42</w:t>
      </w:r>
      <w:r w:rsidRPr="0071085D">
        <w:rPr>
          <w:shd w:val="clear" w:color="auto" w:fill="FFFFFF"/>
          <w:lang w:val="en-CA"/>
        </w:rPr>
        <w:t>(3), 192-202.</w:t>
      </w:r>
    </w:p>
    <w:p w14:paraId="1B7BF1B6" w14:textId="5A24455D" w:rsidR="007E6B2A" w:rsidRPr="0071085D" w:rsidRDefault="00C46FA1" w:rsidP="002A3883">
      <w:pPr>
        <w:widowControl w:val="0"/>
        <w:spacing w:after="0" w:line="480" w:lineRule="auto"/>
        <w:ind w:left="426" w:hanging="426"/>
        <w:contextualSpacing/>
      </w:pPr>
      <w:r w:rsidRPr="0071085D">
        <w:rPr>
          <w:lang w:val="en-US"/>
        </w:rPr>
        <w:t xml:space="preserve">Blais, M. R., Vallerand, R. J., Pelletier, L. G., &amp; </w:t>
      </w:r>
      <w:proofErr w:type="spellStart"/>
      <w:r w:rsidRPr="0071085D">
        <w:rPr>
          <w:lang w:val="en-US"/>
        </w:rPr>
        <w:t>Brière</w:t>
      </w:r>
      <w:proofErr w:type="spellEnd"/>
      <w:r w:rsidRPr="0071085D">
        <w:rPr>
          <w:lang w:val="en-US"/>
        </w:rPr>
        <w:t xml:space="preserve">, N. M. (1989). </w:t>
      </w:r>
      <w:r w:rsidRPr="0071085D">
        <w:t xml:space="preserve">L'échelle de satisfaction de vie: Validation canadienne-française du" Satisfaction </w:t>
      </w:r>
      <w:proofErr w:type="spellStart"/>
      <w:r w:rsidRPr="0071085D">
        <w:t>with</w:t>
      </w:r>
      <w:proofErr w:type="spellEnd"/>
      <w:r w:rsidRPr="0071085D">
        <w:t xml:space="preserve"> Life Scale". </w:t>
      </w:r>
      <w:r w:rsidRPr="0071085D">
        <w:rPr>
          <w:i/>
        </w:rPr>
        <w:t>Revue canadienne des sciences du comportement, 21</w:t>
      </w:r>
      <w:r w:rsidRPr="0071085D">
        <w:t>(2), 210-223</w:t>
      </w:r>
      <w:r w:rsidR="00352AD8" w:rsidRPr="0071085D">
        <w:t xml:space="preserve">. </w:t>
      </w:r>
    </w:p>
    <w:p w14:paraId="4EE810EB" w14:textId="448250B2" w:rsidR="00D83FD2" w:rsidRPr="0071085D" w:rsidRDefault="009E0A7C" w:rsidP="002A3883">
      <w:pPr>
        <w:widowControl w:val="0"/>
        <w:spacing w:after="0" w:line="480" w:lineRule="auto"/>
        <w:ind w:left="426" w:hanging="426"/>
        <w:contextualSpacing/>
      </w:pPr>
      <w:r w:rsidRPr="0071085D">
        <w:t>Boislard, M.</w:t>
      </w:r>
      <w:r w:rsidR="001340C9" w:rsidRPr="0071085D">
        <w:t xml:space="preserve"> </w:t>
      </w:r>
      <w:r w:rsidR="00D83FD2" w:rsidRPr="0071085D">
        <w:t xml:space="preserve">A., &amp; Poulin, F. (2011). </w:t>
      </w:r>
      <w:r w:rsidR="00D83FD2" w:rsidRPr="0071085D">
        <w:rPr>
          <w:lang w:val="en-CA"/>
        </w:rPr>
        <w:t xml:space="preserve">Individual, familial, friends-related and contextual </w:t>
      </w:r>
      <w:r w:rsidR="00D83FD2" w:rsidRPr="0071085D">
        <w:rPr>
          <w:lang w:val="en-CA"/>
        </w:rPr>
        <w:lastRenderedPageBreak/>
        <w:t>predictors of early sexual intercourse</w:t>
      </w:r>
      <w:r w:rsidR="00D83FD2" w:rsidRPr="0071085D">
        <w:rPr>
          <w:i/>
          <w:lang w:val="en-CA"/>
        </w:rPr>
        <w:t xml:space="preserve">. </w:t>
      </w:r>
      <w:r w:rsidR="00D83FD2" w:rsidRPr="0071085D">
        <w:rPr>
          <w:i/>
        </w:rPr>
        <w:t xml:space="preserve">Journal of </w:t>
      </w:r>
      <w:r w:rsidR="00344E17" w:rsidRPr="0071085D">
        <w:rPr>
          <w:i/>
        </w:rPr>
        <w:t>A</w:t>
      </w:r>
      <w:r w:rsidR="00D83FD2" w:rsidRPr="0071085D">
        <w:rPr>
          <w:i/>
        </w:rPr>
        <w:t>dolescence, 34</w:t>
      </w:r>
      <w:r w:rsidR="00D83FD2" w:rsidRPr="0071085D">
        <w:t xml:space="preserve">(2), 289-300. </w:t>
      </w:r>
    </w:p>
    <w:p w14:paraId="1D98AB13" w14:textId="3C85D41B" w:rsidR="00FC1ED9" w:rsidRPr="0071085D" w:rsidRDefault="00FC1ED9" w:rsidP="002A3883">
      <w:pPr>
        <w:widowControl w:val="0"/>
        <w:spacing w:after="0" w:line="480" w:lineRule="auto"/>
        <w:ind w:left="426" w:hanging="426"/>
        <w:contextualSpacing/>
      </w:pPr>
      <w:r w:rsidRPr="0071085D">
        <w:t xml:space="preserve">Boislard, M. A., &amp; Poulin, F. (2014). Limites des données </w:t>
      </w:r>
      <w:proofErr w:type="spellStart"/>
      <w:r w:rsidRPr="0071085D">
        <w:t>autorapportées</w:t>
      </w:r>
      <w:proofErr w:type="spellEnd"/>
      <w:r w:rsidRPr="0071085D">
        <w:t xml:space="preserve"> sur les comportements sexuels des adolescents. </w:t>
      </w:r>
      <w:r w:rsidRPr="0071085D">
        <w:rPr>
          <w:i/>
        </w:rPr>
        <w:t>Sexologies</w:t>
      </w:r>
      <w:r w:rsidRPr="0071085D">
        <w:t xml:space="preserve">, 24(1), 25-28. </w:t>
      </w:r>
    </w:p>
    <w:p w14:paraId="406F3BF6" w14:textId="493E6EE8" w:rsidR="00D83FD2" w:rsidRPr="0071085D" w:rsidRDefault="009E0A7C" w:rsidP="002A3883">
      <w:pPr>
        <w:widowControl w:val="0"/>
        <w:spacing w:after="0" w:line="480" w:lineRule="auto"/>
        <w:ind w:left="426" w:hanging="426"/>
        <w:contextualSpacing/>
        <w:rPr>
          <w:lang w:val="en-CA"/>
        </w:rPr>
      </w:pPr>
      <w:r w:rsidRPr="0071085D">
        <w:t>Boislard, M.</w:t>
      </w:r>
      <w:r w:rsidR="001340C9" w:rsidRPr="0071085D">
        <w:t xml:space="preserve"> </w:t>
      </w:r>
      <w:r w:rsidR="00D83FD2" w:rsidRPr="0071085D">
        <w:t xml:space="preserve">A., Poulin, F., Kiesner, J., &amp; Dishion, T. J. (2009). </w:t>
      </w:r>
      <w:r w:rsidR="00D83FD2" w:rsidRPr="0071085D">
        <w:rPr>
          <w:lang w:val="en-CA"/>
        </w:rPr>
        <w:t xml:space="preserve">A longitudinal examination of risky sexual behaviors among Canadian and Italian adolescents: Considering individual, parental, and friend characteristics. </w:t>
      </w:r>
      <w:r w:rsidR="00D83FD2" w:rsidRPr="0071085D">
        <w:rPr>
          <w:i/>
          <w:lang w:val="en-CA"/>
        </w:rPr>
        <w:t>International Journal of Behavioral Development, 33</w:t>
      </w:r>
      <w:r w:rsidR="00D83FD2" w:rsidRPr="0071085D">
        <w:rPr>
          <w:lang w:val="en-CA"/>
        </w:rPr>
        <w:t xml:space="preserve">(3), 265-276. </w:t>
      </w:r>
    </w:p>
    <w:p w14:paraId="766EDFFA" w14:textId="1776A5F5" w:rsidR="00813536" w:rsidRPr="0071085D" w:rsidRDefault="00813536" w:rsidP="002A3883">
      <w:pPr>
        <w:widowControl w:val="0"/>
        <w:spacing w:after="0" w:line="480" w:lineRule="auto"/>
        <w:ind w:left="426" w:hanging="426"/>
        <w:contextualSpacing/>
        <w:rPr>
          <w:lang w:val="en-CA"/>
        </w:rPr>
      </w:pPr>
      <w:r w:rsidRPr="0071085D">
        <w:rPr>
          <w:lang w:val="en-US"/>
        </w:rPr>
        <w:t xml:space="preserve">Boislard, M. A., </w:t>
      </w:r>
      <w:r w:rsidR="00F825B2" w:rsidRPr="0071085D">
        <w:rPr>
          <w:lang w:val="en-US"/>
        </w:rPr>
        <w:t>V</w:t>
      </w:r>
      <w:r w:rsidRPr="0071085D">
        <w:rPr>
          <w:lang w:val="en-US"/>
        </w:rPr>
        <w:t xml:space="preserve">an </w:t>
      </w:r>
      <w:r w:rsidR="00F825B2" w:rsidRPr="0071085D">
        <w:rPr>
          <w:lang w:val="en-US"/>
        </w:rPr>
        <w:t>D</w:t>
      </w:r>
      <w:r w:rsidRPr="0071085D">
        <w:rPr>
          <w:lang w:val="en-US"/>
        </w:rPr>
        <w:t xml:space="preserve">e Bongardt, D., &amp; Blais, M. (2016). Sexuality (and lack thereof) in adolescence and early adulthood: A review of </w:t>
      </w:r>
      <w:proofErr w:type="gramStart"/>
      <w:r w:rsidRPr="0071085D">
        <w:rPr>
          <w:lang w:val="en-US"/>
        </w:rPr>
        <w:t>the literature</w:t>
      </w:r>
      <w:proofErr w:type="gramEnd"/>
      <w:r w:rsidRPr="0071085D">
        <w:rPr>
          <w:lang w:val="en-US"/>
        </w:rPr>
        <w:t xml:space="preserve">. </w:t>
      </w:r>
      <w:r w:rsidRPr="0071085D">
        <w:rPr>
          <w:i/>
          <w:lang w:val="en-CA"/>
        </w:rPr>
        <w:t>Behavioral Sciences, 6</w:t>
      </w:r>
      <w:r w:rsidR="005E7FCE" w:rsidRPr="0071085D">
        <w:rPr>
          <w:lang w:val="en-CA"/>
        </w:rPr>
        <w:t>(1), 1-24</w:t>
      </w:r>
      <w:r w:rsidRPr="0071085D">
        <w:rPr>
          <w:lang w:val="en-CA"/>
        </w:rPr>
        <w:t>.</w:t>
      </w:r>
      <w:r w:rsidRPr="0071085D" w:rsidDel="002661AB">
        <w:rPr>
          <w:lang w:val="en-CA"/>
        </w:rPr>
        <w:t xml:space="preserve"> </w:t>
      </w:r>
    </w:p>
    <w:p w14:paraId="169367BE" w14:textId="7B31A55A" w:rsidR="00813536" w:rsidRPr="0071085D" w:rsidRDefault="004467E5" w:rsidP="002A3883">
      <w:pPr>
        <w:widowControl w:val="0"/>
        <w:spacing w:after="0" w:line="480" w:lineRule="auto"/>
        <w:ind w:left="426" w:hanging="426"/>
        <w:contextualSpacing/>
        <w:rPr>
          <w:lang w:val="en-CA"/>
        </w:rPr>
      </w:pPr>
      <w:r w:rsidRPr="0071085D">
        <w:rPr>
          <w:lang w:val="en-US"/>
        </w:rPr>
        <w:t>Boisvert, I., Boislard, M.</w:t>
      </w:r>
      <w:r w:rsidR="001340C9" w:rsidRPr="0071085D">
        <w:rPr>
          <w:lang w:val="en-US"/>
        </w:rPr>
        <w:t xml:space="preserve"> </w:t>
      </w:r>
      <w:r w:rsidR="00813536" w:rsidRPr="0071085D">
        <w:rPr>
          <w:lang w:val="en-US"/>
        </w:rPr>
        <w:t xml:space="preserve">A., &amp; Poulin, F. (2017). </w:t>
      </w:r>
      <w:r w:rsidRPr="0071085D">
        <w:rPr>
          <w:lang w:val="en-CA"/>
        </w:rPr>
        <w:t>Early sexual o</w:t>
      </w:r>
      <w:r w:rsidR="00813536" w:rsidRPr="0071085D">
        <w:rPr>
          <w:lang w:val="en-CA"/>
        </w:rPr>
        <w:t xml:space="preserve">nset and </w:t>
      </w:r>
      <w:r w:rsidRPr="0071085D">
        <w:rPr>
          <w:lang w:val="en-CA"/>
        </w:rPr>
        <w:t>alcohol use and misuse from a</w:t>
      </w:r>
      <w:r w:rsidR="00813536" w:rsidRPr="0071085D">
        <w:rPr>
          <w:lang w:val="en-CA"/>
        </w:rPr>
        <w:t xml:space="preserve">dolescence </w:t>
      </w:r>
      <w:r w:rsidRPr="0071085D">
        <w:rPr>
          <w:lang w:val="en-CA"/>
        </w:rPr>
        <w:t>into y</w:t>
      </w:r>
      <w:r w:rsidR="00813536" w:rsidRPr="0071085D">
        <w:rPr>
          <w:lang w:val="en-CA"/>
        </w:rPr>
        <w:t xml:space="preserve">oung </w:t>
      </w:r>
      <w:r w:rsidRPr="0071085D">
        <w:rPr>
          <w:lang w:val="en-CA"/>
        </w:rPr>
        <w:t>a</w:t>
      </w:r>
      <w:r w:rsidR="00813536" w:rsidRPr="0071085D">
        <w:rPr>
          <w:lang w:val="en-CA"/>
        </w:rPr>
        <w:t xml:space="preserve">dulthood. </w:t>
      </w:r>
      <w:r w:rsidR="005E7FCE" w:rsidRPr="0071085D">
        <w:rPr>
          <w:i/>
          <w:lang w:val="en-CA"/>
        </w:rPr>
        <w:t>Journal of Adolescent Health, 61</w:t>
      </w:r>
      <w:r w:rsidR="005E7FCE" w:rsidRPr="0071085D">
        <w:rPr>
          <w:lang w:val="en-CA"/>
        </w:rPr>
        <w:t>, 514-520.</w:t>
      </w:r>
      <w:r w:rsidR="00813536" w:rsidRPr="0071085D">
        <w:rPr>
          <w:lang w:val="en-CA"/>
        </w:rPr>
        <w:t xml:space="preserve"> </w:t>
      </w:r>
    </w:p>
    <w:p w14:paraId="10DC1B92" w14:textId="3642B3F4" w:rsidR="00414250" w:rsidRPr="0071085D" w:rsidRDefault="00414250" w:rsidP="002A3883">
      <w:pPr>
        <w:widowControl w:val="0"/>
        <w:spacing w:after="0" w:line="480" w:lineRule="auto"/>
        <w:ind w:left="426" w:hanging="426"/>
        <w:contextualSpacing/>
        <w:rPr>
          <w:lang w:val="en-CA"/>
        </w:rPr>
      </w:pPr>
      <w:r w:rsidRPr="0071085D">
        <w:rPr>
          <w:lang w:val="en-CA"/>
        </w:rPr>
        <w:t>Bradley, G., &amp; Wildman, K. (2002). Psychosocial predictors of emerging adults' risk and reckless behaviors</w:t>
      </w:r>
      <w:r w:rsidRPr="0071085D">
        <w:rPr>
          <w:i/>
          <w:lang w:val="en-CA"/>
        </w:rPr>
        <w:t>. Journal of youth and adolescence, 31</w:t>
      </w:r>
      <w:r w:rsidRPr="0071085D">
        <w:rPr>
          <w:lang w:val="en-CA"/>
        </w:rPr>
        <w:t>(4), 253-265.</w:t>
      </w:r>
    </w:p>
    <w:p w14:paraId="04B0830D" w14:textId="55B21954" w:rsidR="005E5A10" w:rsidRPr="0071085D" w:rsidRDefault="001E7EFC" w:rsidP="002A3883">
      <w:pPr>
        <w:widowControl w:val="0"/>
        <w:spacing w:after="0" w:line="480" w:lineRule="auto"/>
        <w:ind w:left="426" w:hanging="426"/>
        <w:contextualSpacing/>
        <w:rPr>
          <w:lang w:val="en-CA"/>
        </w:rPr>
      </w:pPr>
      <w:bookmarkStart w:id="12" w:name="_Hlk487047556"/>
      <w:r w:rsidRPr="0071085D">
        <w:rPr>
          <w:lang w:val="en-CA"/>
        </w:rPr>
        <w:t>Statistics Canada</w:t>
      </w:r>
      <w:r w:rsidR="005E5A10" w:rsidRPr="0071085D">
        <w:rPr>
          <w:lang w:val="en-CA"/>
        </w:rPr>
        <w:t xml:space="preserve"> </w:t>
      </w:r>
      <w:bookmarkEnd w:id="12"/>
      <w:r w:rsidR="005E5A10" w:rsidRPr="0071085D">
        <w:rPr>
          <w:lang w:val="en-CA"/>
        </w:rPr>
        <w:t>(201</w:t>
      </w:r>
      <w:r w:rsidR="009855F2" w:rsidRPr="0071085D">
        <w:rPr>
          <w:lang w:val="en-CA"/>
        </w:rPr>
        <w:t>5</w:t>
      </w:r>
      <w:r w:rsidR="005E5A10" w:rsidRPr="0071085D">
        <w:rPr>
          <w:lang w:val="en-CA"/>
        </w:rPr>
        <w:t xml:space="preserve">). </w:t>
      </w:r>
      <w:r w:rsidR="005E5A10" w:rsidRPr="0071085D">
        <w:rPr>
          <w:i/>
          <w:lang w:val="en-CA"/>
        </w:rPr>
        <w:t>Canadian Tobacco, Alcohol and Drugs Survey (CTADS): 2015 summary</w:t>
      </w:r>
      <w:r w:rsidR="005E5A10" w:rsidRPr="0071085D">
        <w:rPr>
          <w:lang w:val="en-CA"/>
        </w:rPr>
        <w:t xml:space="preserve">. Ottawa: Health Canada. </w:t>
      </w:r>
    </w:p>
    <w:p w14:paraId="6CED7952" w14:textId="7D80E608" w:rsidR="00DA4364" w:rsidRPr="0071085D" w:rsidRDefault="00DA4364" w:rsidP="002A3883">
      <w:pPr>
        <w:widowControl w:val="0"/>
        <w:spacing w:after="0" w:line="480" w:lineRule="auto"/>
        <w:ind w:left="426" w:hanging="426"/>
        <w:contextualSpacing/>
        <w:rPr>
          <w:lang w:val="en-CA"/>
        </w:rPr>
      </w:pPr>
      <w:r w:rsidRPr="0071085D">
        <w:rPr>
          <w:lang w:val="en-CA"/>
        </w:rPr>
        <w:t xml:space="preserve">Cappelletti, S., </w:t>
      </w:r>
      <w:proofErr w:type="spellStart"/>
      <w:r w:rsidRPr="0071085D">
        <w:rPr>
          <w:lang w:val="en-CA"/>
        </w:rPr>
        <w:t>Aromatario</w:t>
      </w:r>
      <w:proofErr w:type="spellEnd"/>
      <w:r w:rsidRPr="0071085D">
        <w:rPr>
          <w:lang w:val="en-CA"/>
        </w:rPr>
        <w:t xml:space="preserve">, M., Bottoni, E., Fiore, P. A., </w:t>
      </w:r>
      <w:proofErr w:type="spellStart"/>
      <w:r w:rsidRPr="0071085D">
        <w:rPr>
          <w:lang w:val="en-CA"/>
        </w:rPr>
        <w:t>Fineschi</w:t>
      </w:r>
      <w:proofErr w:type="spellEnd"/>
      <w:r w:rsidRPr="0071085D">
        <w:rPr>
          <w:lang w:val="en-CA"/>
        </w:rPr>
        <w:t xml:space="preserve">, V., di Luca, N. M., &amp; Ciallella, C. (2016). Variability in findings of </w:t>
      </w:r>
      <w:bookmarkStart w:id="13" w:name="_Hlk486342091"/>
      <w:r w:rsidRPr="0071085D">
        <w:rPr>
          <w:lang w:val="en-CA"/>
        </w:rPr>
        <w:t>anogenital injury in consensual and non-consensual fisting intercourse</w:t>
      </w:r>
      <w:bookmarkEnd w:id="13"/>
      <w:r w:rsidRPr="0071085D">
        <w:rPr>
          <w:lang w:val="en-CA"/>
        </w:rPr>
        <w:t xml:space="preserve">: A systematic review. </w:t>
      </w:r>
      <w:r w:rsidRPr="0071085D">
        <w:rPr>
          <w:i/>
          <w:lang w:val="en-CA"/>
        </w:rPr>
        <w:t>Journal of Forensic and Legal Medicine, 44</w:t>
      </w:r>
      <w:r w:rsidRPr="0071085D">
        <w:rPr>
          <w:lang w:val="en-CA"/>
        </w:rPr>
        <w:t>, 58-62.</w:t>
      </w:r>
    </w:p>
    <w:p w14:paraId="5FF35428" w14:textId="239FDD7A" w:rsidR="00990B70" w:rsidRPr="0071085D" w:rsidRDefault="00280380" w:rsidP="00182320">
      <w:pPr>
        <w:widowControl w:val="0"/>
        <w:autoSpaceDE w:val="0"/>
        <w:autoSpaceDN w:val="0"/>
        <w:adjustRightInd w:val="0"/>
        <w:spacing w:after="0" w:line="480" w:lineRule="auto"/>
        <w:ind w:left="426" w:hanging="426"/>
        <w:contextualSpacing/>
        <w:rPr>
          <w:rFonts w:eastAsia="Times New Roman"/>
          <w:lang w:val="en-US" w:eastAsia="fr-CA"/>
        </w:rPr>
      </w:pPr>
      <w:r w:rsidRPr="0071085D">
        <w:rPr>
          <w:rFonts w:eastAsia="Times New Roman"/>
          <w:lang w:val="en-CA" w:eastAsia="fr-CA"/>
        </w:rPr>
        <w:t xml:space="preserve">Carlson, R. G., Nahhas, R. W., </w:t>
      </w:r>
      <w:proofErr w:type="spellStart"/>
      <w:r w:rsidRPr="0071085D">
        <w:rPr>
          <w:rFonts w:eastAsia="Times New Roman"/>
          <w:lang w:val="en-CA" w:eastAsia="fr-CA"/>
        </w:rPr>
        <w:t>Daniulaityte</w:t>
      </w:r>
      <w:proofErr w:type="spellEnd"/>
      <w:r w:rsidRPr="0071085D">
        <w:rPr>
          <w:rFonts w:eastAsia="Times New Roman"/>
          <w:lang w:val="en-CA" w:eastAsia="fr-CA"/>
        </w:rPr>
        <w:t xml:space="preserve">, R., Martins, S. S., Li, L., &amp; Falck, R. (2014). Latent class analysis of non-opioid dependent illegal pharmaceutical opioid users in Ohio. </w:t>
      </w:r>
      <w:r w:rsidRPr="0071085D">
        <w:rPr>
          <w:rFonts w:eastAsia="Times New Roman"/>
          <w:i/>
          <w:lang w:val="en-US" w:eastAsia="fr-CA"/>
        </w:rPr>
        <w:t>Drug and Alcohol Dependence</w:t>
      </w:r>
      <w:r w:rsidRPr="0071085D">
        <w:rPr>
          <w:rFonts w:eastAsia="Times New Roman"/>
          <w:lang w:val="en-US" w:eastAsia="fr-CA"/>
        </w:rPr>
        <w:t xml:space="preserve">, 134(1), 259‑266. </w:t>
      </w:r>
    </w:p>
    <w:p w14:paraId="2CD0A659" w14:textId="77777777" w:rsidR="00E37190" w:rsidRPr="0071085D" w:rsidRDefault="00E37190" w:rsidP="00E37190">
      <w:pPr>
        <w:widowControl w:val="0"/>
        <w:autoSpaceDE w:val="0"/>
        <w:autoSpaceDN w:val="0"/>
        <w:adjustRightInd w:val="0"/>
        <w:spacing w:after="0" w:line="480" w:lineRule="auto"/>
        <w:ind w:left="426" w:hanging="426"/>
        <w:contextualSpacing/>
        <w:rPr>
          <w:noProof/>
          <w:lang w:val="en-US"/>
        </w:rPr>
      </w:pPr>
      <w:r w:rsidRPr="0071085D">
        <w:rPr>
          <w:noProof/>
          <w:lang w:val="en-CA"/>
        </w:rPr>
        <w:t xml:space="preserve">Centers for Disease Control. </w:t>
      </w:r>
      <w:r w:rsidRPr="0071085D">
        <w:rPr>
          <w:noProof/>
          <w:lang w:val="en-US"/>
        </w:rPr>
        <w:t>(2012). Vital signs: Binge drinking prevalence, frequency, and</w:t>
      </w:r>
    </w:p>
    <w:p w14:paraId="5B8A7ED8" w14:textId="77777777" w:rsidR="00E37190" w:rsidRPr="0071085D" w:rsidRDefault="00E37190" w:rsidP="00C708D9">
      <w:pPr>
        <w:widowControl w:val="0"/>
        <w:autoSpaceDE w:val="0"/>
        <w:autoSpaceDN w:val="0"/>
        <w:adjustRightInd w:val="0"/>
        <w:spacing w:after="0" w:line="480" w:lineRule="auto"/>
        <w:ind w:left="852" w:hanging="426"/>
        <w:contextualSpacing/>
        <w:rPr>
          <w:noProof/>
          <w:lang w:val="en-US"/>
        </w:rPr>
      </w:pPr>
      <w:r w:rsidRPr="0071085D">
        <w:rPr>
          <w:noProof/>
          <w:lang w:val="en-US"/>
        </w:rPr>
        <w:lastRenderedPageBreak/>
        <w:t xml:space="preserve">intensity among adults- United States, 2010. </w:t>
      </w:r>
      <w:r w:rsidRPr="0071085D">
        <w:rPr>
          <w:i/>
          <w:noProof/>
          <w:lang w:val="en-US"/>
        </w:rPr>
        <w:t>Morbidity and Mortality Weekly Report</w:t>
      </w:r>
      <w:r w:rsidRPr="0071085D">
        <w:rPr>
          <w:noProof/>
          <w:lang w:val="en-US"/>
        </w:rPr>
        <w:t>,</w:t>
      </w:r>
    </w:p>
    <w:p w14:paraId="7656D78E" w14:textId="6B310E7D" w:rsidR="00E37190" w:rsidRPr="0071085D" w:rsidRDefault="00E37190" w:rsidP="00C708D9">
      <w:pPr>
        <w:widowControl w:val="0"/>
        <w:autoSpaceDE w:val="0"/>
        <w:autoSpaceDN w:val="0"/>
        <w:adjustRightInd w:val="0"/>
        <w:spacing w:after="0" w:line="480" w:lineRule="auto"/>
        <w:ind w:left="852" w:hanging="426"/>
        <w:contextualSpacing/>
        <w:rPr>
          <w:noProof/>
          <w:lang w:val="en-US"/>
        </w:rPr>
      </w:pPr>
      <w:r w:rsidRPr="0071085D">
        <w:rPr>
          <w:i/>
          <w:noProof/>
          <w:lang w:val="en-US"/>
        </w:rPr>
        <w:t>61</w:t>
      </w:r>
      <w:r w:rsidRPr="0071085D">
        <w:rPr>
          <w:noProof/>
          <w:lang w:val="en-US"/>
        </w:rPr>
        <w:t>(1), 14-19.</w:t>
      </w:r>
    </w:p>
    <w:p w14:paraId="3E945770" w14:textId="5C6FAE21" w:rsidR="00281445" w:rsidRPr="0071085D" w:rsidRDefault="00281445" w:rsidP="00A571CA">
      <w:pPr>
        <w:widowControl w:val="0"/>
        <w:spacing w:after="0" w:line="480" w:lineRule="auto"/>
        <w:ind w:left="426" w:hanging="426"/>
        <w:contextualSpacing/>
        <w:rPr>
          <w:shd w:val="clear" w:color="auto" w:fill="FFFFFF"/>
          <w:lang w:val="en-CA"/>
        </w:rPr>
      </w:pPr>
      <w:r w:rsidRPr="0071085D">
        <w:rPr>
          <w:shd w:val="clear" w:color="auto" w:fill="FFFFFF"/>
          <w:lang w:val="en-CA"/>
        </w:rPr>
        <w:t xml:space="preserve">Conley, T. D., </w:t>
      </w:r>
      <w:proofErr w:type="spellStart"/>
      <w:r w:rsidRPr="0071085D">
        <w:rPr>
          <w:shd w:val="clear" w:color="auto" w:fill="FFFFFF"/>
          <w:lang w:val="en-CA"/>
        </w:rPr>
        <w:t>Matsick</w:t>
      </w:r>
      <w:proofErr w:type="spellEnd"/>
      <w:r w:rsidRPr="0071085D">
        <w:rPr>
          <w:shd w:val="clear" w:color="auto" w:fill="FFFFFF"/>
          <w:lang w:val="en-CA"/>
        </w:rPr>
        <w:t xml:space="preserve">, J. L., Moors, A. C., Ziegler, A., &amp; Rubin, J. D. (2015). Re-examining the effectiveness of monogamy as an STI-preventive strategy. </w:t>
      </w:r>
      <w:r w:rsidRPr="0071085D">
        <w:rPr>
          <w:i/>
          <w:shd w:val="clear" w:color="auto" w:fill="FFFFFF"/>
          <w:lang w:val="en-CA"/>
        </w:rPr>
        <w:t>Preventive medicine, 78</w:t>
      </w:r>
      <w:r w:rsidRPr="0071085D">
        <w:rPr>
          <w:shd w:val="clear" w:color="auto" w:fill="FFFFFF"/>
          <w:lang w:val="en-CA"/>
        </w:rPr>
        <w:t>, 23-28.</w:t>
      </w:r>
      <w:r w:rsidR="009A1DDD" w:rsidRPr="0071085D">
        <w:rPr>
          <w:shd w:val="clear" w:color="auto" w:fill="FFFFFF"/>
          <w:lang w:val="en-CA"/>
        </w:rPr>
        <w:t xml:space="preserve"> </w:t>
      </w:r>
    </w:p>
    <w:p w14:paraId="63667CE1" w14:textId="6E19CEE5" w:rsidR="00402FF5" w:rsidRPr="0071085D" w:rsidRDefault="00402FF5" w:rsidP="00A571CA">
      <w:pPr>
        <w:widowControl w:val="0"/>
        <w:spacing w:after="0" w:line="480" w:lineRule="auto"/>
        <w:ind w:left="426" w:hanging="426"/>
        <w:contextualSpacing/>
        <w:rPr>
          <w:shd w:val="clear" w:color="auto" w:fill="FFFFFF"/>
          <w:lang w:val="en-CA"/>
        </w:rPr>
      </w:pPr>
      <w:r w:rsidRPr="0071085D">
        <w:rPr>
          <w:shd w:val="clear" w:color="auto" w:fill="FFFFFF"/>
          <w:lang w:val="en-CA"/>
        </w:rPr>
        <w:t>Crown</w:t>
      </w:r>
      <w:r w:rsidR="00DB0A98" w:rsidRPr="0071085D">
        <w:rPr>
          <w:shd w:val="clear" w:color="auto" w:fill="FFFFFF"/>
          <w:lang w:val="en-CA"/>
        </w:rPr>
        <w:t>e</w:t>
      </w:r>
      <w:r w:rsidRPr="0071085D">
        <w:rPr>
          <w:shd w:val="clear" w:color="auto" w:fill="FFFFFF"/>
          <w:lang w:val="en-CA"/>
        </w:rPr>
        <w:t xml:space="preserve">, D. P., &amp; Marlowe, D. (1960). A new scale of social desirability independent of psychopathology. </w:t>
      </w:r>
      <w:r w:rsidRPr="0071085D">
        <w:rPr>
          <w:i/>
          <w:shd w:val="clear" w:color="auto" w:fill="FFFFFF"/>
          <w:lang w:val="en-CA"/>
        </w:rPr>
        <w:t>Journal of Consulting and Clinical Psychology, 24</w:t>
      </w:r>
      <w:r w:rsidRPr="0071085D">
        <w:rPr>
          <w:shd w:val="clear" w:color="auto" w:fill="FFFFFF"/>
          <w:lang w:val="en-CA"/>
        </w:rPr>
        <w:t>, 359-364.</w:t>
      </w:r>
    </w:p>
    <w:p w14:paraId="6CD5E08C" w14:textId="259AD90F" w:rsidR="00F22D34" w:rsidRPr="0071085D" w:rsidRDefault="00F22D34" w:rsidP="00A571CA">
      <w:pPr>
        <w:widowControl w:val="0"/>
        <w:spacing w:after="0" w:line="480" w:lineRule="auto"/>
        <w:ind w:left="426" w:hanging="426"/>
        <w:contextualSpacing/>
        <w:rPr>
          <w:shd w:val="clear" w:color="auto" w:fill="FFFFFF"/>
          <w:lang w:val="en-CA"/>
        </w:rPr>
      </w:pPr>
      <w:r w:rsidRPr="0071085D">
        <w:rPr>
          <w:shd w:val="clear" w:color="auto" w:fill="FFFFFF"/>
          <w:lang w:val="en-CA"/>
        </w:rPr>
        <w:t xml:space="preserve">Dembo, R., Briones-Robinson, R., Ungaro, R., Gulledge, L., Karas, L., Winters, K. C., … Greenbaum, P. E. (2012). Emotional/psychological and related problems among truant youths: An exploratory latent class analysis. </w:t>
      </w:r>
      <w:r w:rsidRPr="0071085D">
        <w:rPr>
          <w:i/>
          <w:shd w:val="clear" w:color="auto" w:fill="FFFFFF"/>
          <w:lang w:val="en-CA"/>
        </w:rPr>
        <w:t>Journal of Emotional and Behavioral Disorders, 20</w:t>
      </w:r>
      <w:r w:rsidRPr="0071085D">
        <w:rPr>
          <w:shd w:val="clear" w:color="auto" w:fill="FFFFFF"/>
          <w:lang w:val="en-CA"/>
        </w:rPr>
        <w:t xml:space="preserve">(3), 157–168. </w:t>
      </w:r>
    </w:p>
    <w:p w14:paraId="50ED3254" w14:textId="39134328" w:rsidR="00CF1082" w:rsidRPr="0071085D" w:rsidRDefault="00352AD8" w:rsidP="00182320">
      <w:pPr>
        <w:widowControl w:val="0"/>
        <w:autoSpaceDE w:val="0"/>
        <w:autoSpaceDN w:val="0"/>
        <w:adjustRightInd w:val="0"/>
        <w:spacing w:after="0" w:line="480" w:lineRule="auto"/>
        <w:ind w:left="426" w:hanging="426"/>
        <w:contextualSpacing/>
        <w:rPr>
          <w:noProof/>
          <w:u w:val="single"/>
          <w:lang w:val="en-CA"/>
        </w:rPr>
      </w:pPr>
      <w:r w:rsidRPr="0071085D">
        <w:rPr>
          <w:noProof/>
          <w:lang w:val="en-CA"/>
        </w:rPr>
        <w:t xml:space="preserve">Diener, E., Emmons, R. A., Larsen, R. J., &amp; Griffin, S. (1985). The Satisfaction With Life Scale. </w:t>
      </w:r>
      <w:r w:rsidRPr="0071085D">
        <w:rPr>
          <w:i/>
          <w:iCs/>
          <w:noProof/>
          <w:lang w:val="en-CA"/>
        </w:rPr>
        <w:t>Journal of Personality Assessment</w:t>
      </w:r>
      <w:r w:rsidRPr="0071085D">
        <w:rPr>
          <w:noProof/>
          <w:lang w:val="en-CA"/>
        </w:rPr>
        <w:t xml:space="preserve">, </w:t>
      </w:r>
      <w:r w:rsidRPr="0071085D">
        <w:rPr>
          <w:i/>
          <w:iCs/>
          <w:noProof/>
          <w:lang w:val="en-CA"/>
        </w:rPr>
        <w:t>49</w:t>
      </w:r>
      <w:r w:rsidRPr="0071085D">
        <w:rPr>
          <w:noProof/>
          <w:lang w:val="en-CA"/>
        </w:rPr>
        <w:t xml:space="preserve">(1), 71–75. </w:t>
      </w:r>
    </w:p>
    <w:p w14:paraId="49D587EC" w14:textId="77777777" w:rsidR="00D75661" w:rsidRPr="0071085D" w:rsidRDefault="00352AD8" w:rsidP="00A571CA">
      <w:pPr>
        <w:widowControl w:val="0"/>
        <w:spacing w:after="0" w:line="480" w:lineRule="auto"/>
        <w:ind w:left="426" w:hanging="426"/>
        <w:contextualSpacing/>
        <w:rPr>
          <w:noProof/>
          <w:lang w:val="en-CA"/>
        </w:rPr>
      </w:pPr>
      <w:bookmarkStart w:id="14" w:name="_Hlk119930222"/>
      <w:r w:rsidRPr="0071085D">
        <w:rPr>
          <w:noProof/>
          <w:lang w:val="en-CA"/>
        </w:rPr>
        <w:t xml:space="preserve">Dixon-Mueller, R. (2008). How young is “too young”? Comparative perspectives on adolescent sexual, marital, and reproductive transitions. </w:t>
      </w:r>
      <w:r w:rsidRPr="0071085D">
        <w:rPr>
          <w:i/>
          <w:noProof/>
          <w:lang w:val="en-CA"/>
        </w:rPr>
        <w:t>Family Planning, 39</w:t>
      </w:r>
      <w:r w:rsidRPr="0071085D">
        <w:rPr>
          <w:noProof/>
          <w:lang w:val="en-CA"/>
        </w:rPr>
        <w:t>, 247–262.</w:t>
      </w:r>
    </w:p>
    <w:p w14:paraId="50BD6AF0" w14:textId="3CEFD5B7" w:rsidR="00D75661" w:rsidRPr="0071085D" w:rsidRDefault="00D75661" w:rsidP="00A571CA">
      <w:pPr>
        <w:widowControl w:val="0"/>
        <w:spacing w:after="0" w:line="480" w:lineRule="auto"/>
        <w:ind w:left="426" w:hanging="426"/>
        <w:contextualSpacing/>
        <w:rPr>
          <w:noProof/>
          <w:lang w:val="en-CA"/>
        </w:rPr>
      </w:pPr>
      <w:bookmarkStart w:id="15" w:name="_Hlk524715366"/>
      <w:bookmarkEnd w:id="14"/>
      <w:r w:rsidRPr="0071085D">
        <w:rPr>
          <w:lang w:val="en-CA"/>
        </w:rPr>
        <w:t xml:space="preserve">Edmundson, C., </w:t>
      </w:r>
      <w:proofErr w:type="spellStart"/>
      <w:r w:rsidRPr="0071085D">
        <w:rPr>
          <w:lang w:val="en-CA"/>
        </w:rPr>
        <w:t>Heinsbroek</w:t>
      </w:r>
      <w:proofErr w:type="spellEnd"/>
      <w:r w:rsidRPr="0071085D">
        <w:rPr>
          <w:lang w:val="en-CA"/>
        </w:rPr>
        <w:t xml:space="preserve">, E., Glass, R., Hope, V., Mohammed, H., White, M., &amp; Desai, M. (2018). Sexualised drug use in the United Kingdom (UK): A review of the literature. </w:t>
      </w:r>
      <w:r w:rsidRPr="0071085D">
        <w:rPr>
          <w:i/>
          <w:iCs/>
          <w:lang w:val="en-CA"/>
        </w:rPr>
        <w:t>International Journal of Drug Policy</w:t>
      </w:r>
      <w:r w:rsidRPr="0071085D">
        <w:rPr>
          <w:lang w:val="en-CA"/>
        </w:rPr>
        <w:t xml:space="preserve">, </w:t>
      </w:r>
      <w:r w:rsidRPr="0071085D">
        <w:rPr>
          <w:i/>
          <w:iCs/>
          <w:lang w:val="en-CA"/>
        </w:rPr>
        <w:t>55</w:t>
      </w:r>
      <w:r w:rsidRPr="0071085D">
        <w:rPr>
          <w:lang w:val="en-CA"/>
        </w:rPr>
        <w:t xml:space="preserve">, 131–148. </w:t>
      </w:r>
    </w:p>
    <w:bookmarkEnd w:id="15"/>
    <w:p w14:paraId="6769F267" w14:textId="0DBC537B" w:rsidR="00316FDB" w:rsidRPr="0071085D" w:rsidRDefault="00D75661" w:rsidP="00A571CA">
      <w:pPr>
        <w:widowControl w:val="0"/>
        <w:spacing w:after="0" w:line="480" w:lineRule="auto"/>
        <w:ind w:left="426" w:hanging="426"/>
        <w:contextualSpacing/>
        <w:rPr>
          <w:noProof/>
          <w:lang w:val="en-CA"/>
        </w:rPr>
      </w:pPr>
      <w:r w:rsidRPr="0071085D">
        <w:rPr>
          <w:lang w:val="en-CA"/>
        </w:rPr>
        <w:t xml:space="preserve"> </w:t>
      </w:r>
      <w:r w:rsidR="00316FDB" w:rsidRPr="0071085D">
        <w:rPr>
          <w:lang w:val="en-CA"/>
        </w:rPr>
        <w:t xml:space="preserve">Eisenberg, M. L., Shindel, A. W., Smith, J. F., Lue, T. F., &amp; Walsh, T. J. (2009). Who is the 40-year-old virgin and where did he/she come from? Data from the national survey of family growth. </w:t>
      </w:r>
      <w:r w:rsidR="00316FDB" w:rsidRPr="0071085D">
        <w:rPr>
          <w:i/>
          <w:lang w:val="en-CA"/>
        </w:rPr>
        <w:t>Journal of Sexual Medicine, 6</w:t>
      </w:r>
      <w:r w:rsidR="00316FDB" w:rsidRPr="0071085D">
        <w:rPr>
          <w:lang w:val="en-CA"/>
        </w:rPr>
        <w:t xml:space="preserve">, 2154–2161. </w:t>
      </w:r>
    </w:p>
    <w:p w14:paraId="66B2152F" w14:textId="190A96D3" w:rsidR="00C42A55" w:rsidRPr="0071085D" w:rsidRDefault="00E02572" w:rsidP="00A571CA">
      <w:pPr>
        <w:widowControl w:val="0"/>
        <w:spacing w:after="0" w:line="480" w:lineRule="auto"/>
        <w:ind w:left="426" w:hanging="426"/>
        <w:contextualSpacing/>
        <w:rPr>
          <w:lang w:val="en-US"/>
        </w:rPr>
      </w:pPr>
      <w:r w:rsidRPr="0071085D">
        <w:rPr>
          <w:lang w:val="en-CA"/>
        </w:rPr>
        <w:t xml:space="preserve">Ethier, K. A., Kershaw, T. S., Lewis, J. B., Milan, S., Niccolai, L. M., &amp; </w:t>
      </w:r>
      <w:proofErr w:type="spellStart"/>
      <w:r w:rsidRPr="0071085D">
        <w:rPr>
          <w:lang w:val="en-CA"/>
        </w:rPr>
        <w:t>Ickovics</w:t>
      </w:r>
      <w:proofErr w:type="spellEnd"/>
      <w:r w:rsidRPr="0071085D">
        <w:rPr>
          <w:lang w:val="en-CA"/>
        </w:rPr>
        <w:t xml:space="preserve">, J. R. (2006). Self-esteem, emotional distress and sexual behavior among adolescent females: Inter-relationships and temporal effects. </w:t>
      </w:r>
      <w:r w:rsidRPr="0071085D">
        <w:rPr>
          <w:i/>
          <w:lang w:val="en-US"/>
        </w:rPr>
        <w:t>Journal of Adolescent health, 38</w:t>
      </w:r>
      <w:r w:rsidRPr="0071085D">
        <w:rPr>
          <w:lang w:val="en-US"/>
        </w:rPr>
        <w:t xml:space="preserve">(3), 268-274. </w:t>
      </w:r>
      <w:r w:rsidR="00833542" w:rsidRPr="0071085D">
        <w:rPr>
          <w:lang w:val="en-US"/>
        </w:rPr>
        <w:t xml:space="preserve"> </w:t>
      </w:r>
    </w:p>
    <w:p w14:paraId="4648D573" w14:textId="0CBED114" w:rsidR="00BD1307" w:rsidRPr="0071085D" w:rsidRDefault="00BD1307" w:rsidP="00A571CA">
      <w:pPr>
        <w:widowControl w:val="0"/>
        <w:spacing w:after="0" w:line="480" w:lineRule="auto"/>
        <w:ind w:left="426" w:hanging="426"/>
        <w:contextualSpacing/>
        <w:rPr>
          <w:lang w:val="en-US"/>
        </w:rPr>
      </w:pPr>
      <w:r w:rsidRPr="0071085D">
        <w:rPr>
          <w:lang w:val="en-US"/>
        </w:rPr>
        <w:lastRenderedPageBreak/>
        <w:t xml:space="preserve">Fischer, J. A., </w:t>
      </w:r>
      <w:proofErr w:type="spellStart"/>
      <w:r w:rsidRPr="0071085D">
        <w:rPr>
          <w:lang w:val="en-US"/>
        </w:rPr>
        <w:t>Clavarino</w:t>
      </w:r>
      <w:proofErr w:type="spellEnd"/>
      <w:r w:rsidRPr="0071085D">
        <w:rPr>
          <w:lang w:val="en-US"/>
        </w:rPr>
        <w:t xml:space="preserve">, A. M., Plotnikova, M., &amp; Najman, J. M. (2015). Cannabis use and quality of life of adolescents and young adults: findings from an Australian birth cohort. </w:t>
      </w:r>
      <w:r w:rsidRPr="0071085D">
        <w:rPr>
          <w:i/>
          <w:lang w:val="en-US"/>
        </w:rPr>
        <w:t>Journal of psychoactive drugs, 47</w:t>
      </w:r>
      <w:r w:rsidRPr="0071085D">
        <w:rPr>
          <w:lang w:val="en-US"/>
        </w:rPr>
        <w:t>(2), 107-116.</w:t>
      </w:r>
    </w:p>
    <w:p w14:paraId="2657E72D" w14:textId="523782C6" w:rsidR="00813536" w:rsidRPr="0071085D" w:rsidRDefault="00813536" w:rsidP="00182320">
      <w:pPr>
        <w:widowControl w:val="0"/>
        <w:autoSpaceDE w:val="0"/>
        <w:autoSpaceDN w:val="0"/>
        <w:adjustRightInd w:val="0"/>
        <w:spacing w:after="0" w:line="480" w:lineRule="auto"/>
        <w:ind w:left="480" w:hanging="480"/>
        <w:contextualSpacing/>
        <w:rPr>
          <w:noProof/>
          <w:lang w:val="en-CA"/>
        </w:rPr>
      </w:pPr>
      <w:r w:rsidRPr="0071085D">
        <w:rPr>
          <w:lang w:val="en-US"/>
        </w:rPr>
        <w:t xml:space="preserve">Forhan, S. E., Gottlieb, S. L., Sternberg, M. R., Xu, F., Datta, S. D., McQuillan, G. M., ... Markowitz, L. E. (2009). Prevalence of sexually transmitted infections among female adolescents aged 14 to 19 in the United States. </w:t>
      </w:r>
      <w:r w:rsidRPr="0071085D">
        <w:rPr>
          <w:i/>
          <w:lang w:val="en-CA"/>
        </w:rPr>
        <w:t>Pediatrics, 124</w:t>
      </w:r>
      <w:r w:rsidRPr="0071085D">
        <w:rPr>
          <w:lang w:val="en-CA"/>
        </w:rPr>
        <w:t>(6), 1505-1512.</w:t>
      </w:r>
    </w:p>
    <w:p w14:paraId="173DCB08" w14:textId="3EC4B011" w:rsidR="002B143A" w:rsidRPr="0071085D" w:rsidRDefault="002B143A" w:rsidP="00A571CA">
      <w:pPr>
        <w:widowControl w:val="0"/>
        <w:spacing w:after="0" w:line="480" w:lineRule="auto"/>
        <w:ind w:left="426" w:hanging="426"/>
        <w:contextualSpacing/>
        <w:rPr>
          <w:color w:val="000000"/>
          <w:shd w:val="clear" w:color="auto" w:fill="FFFFFF"/>
          <w:lang w:val="en-US"/>
        </w:rPr>
      </w:pPr>
      <w:r w:rsidRPr="0071085D">
        <w:rPr>
          <w:color w:val="000000"/>
          <w:shd w:val="clear" w:color="auto" w:fill="FFFFFF"/>
          <w:lang w:val="en-US"/>
        </w:rPr>
        <w:t xml:space="preserve">Jain, A., &amp; Ross, M. W. (2008). Predictors of Drop-Out in an Internet Study of Men Who Have Sex with Men. </w:t>
      </w:r>
      <w:r w:rsidRPr="0071085D">
        <w:rPr>
          <w:i/>
          <w:color w:val="000000"/>
          <w:shd w:val="clear" w:color="auto" w:fill="FFFFFF"/>
          <w:lang w:val="en-US"/>
        </w:rPr>
        <w:t>Cyberpsychology &amp; Behavior, 11</w:t>
      </w:r>
      <w:r w:rsidRPr="0071085D">
        <w:rPr>
          <w:color w:val="000000"/>
          <w:shd w:val="clear" w:color="auto" w:fill="FFFFFF"/>
          <w:lang w:val="en-US"/>
        </w:rPr>
        <w:t>(5), 583-586.</w:t>
      </w:r>
    </w:p>
    <w:p w14:paraId="512CAF1D" w14:textId="6DB04229" w:rsidR="007650CC" w:rsidRPr="0071085D" w:rsidRDefault="007650CC" w:rsidP="00182320">
      <w:pPr>
        <w:widowControl w:val="0"/>
        <w:autoSpaceDE w:val="0"/>
        <w:autoSpaceDN w:val="0"/>
        <w:adjustRightInd w:val="0"/>
        <w:spacing w:after="0" w:line="480" w:lineRule="auto"/>
        <w:ind w:left="480" w:hanging="480"/>
        <w:contextualSpacing/>
        <w:rPr>
          <w:rFonts w:eastAsia="Times New Roman"/>
          <w:lang w:val="en-CA" w:eastAsia="fr-CA"/>
        </w:rPr>
      </w:pPr>
      <w:r w:rsidRPr="0071085D">
        <w:rPr>
          <w:rFonts w:eastAsia="Times New Roman"/>
          <w:lang w:val="en-US" w:eastAsia="fr-CA"/>
        </w:rPr>
        <w:t xml:space="preserve">James, S., McField, E. S., &amp; Montgomery, S. B. (2013). Risk factor profiles among intravenous drug using young adults: A latent class analysis (LCA) approach. </w:t>
      </w:r>
      <w:r w:rsidRPr="0071085D">
        <w:rPr>
          <w:rFonts w:eastAsia="Times New Roman"/>
          <w:i/>
          <w:lang w:val="en-CA" w:eastAsia="fr-CA"/>
        </w:rPr>
        <w:t>Addictive behaviors, 38</w:t>
      </w:r>
      <w:r w:rsidRPr="0071085D">
        <w:rPr>
          <w:rFonts w:eastAsia="Times New Roman"/>
          <w:lang w:val="en-CA" w:eastAsia="fr-CA"/>
        </w:rPr>
        <w:t>(3), 1804-1811.</w:t>
      </w:r>
    </w:p>
    <w:p w14:paraId="2E5193D7" w14:textId="035540CF" w:rsidR="00F30D83" w:rsidRPr="0071085D" w:rsidRDefault="00F30D83" w:rsidP="00182320">
      <w:pPr>
        <w:widowControl w:val="0"/>
        <w:autoSpaceDE w:val="0"/>
        <w:autoSpaceDN w:val="0"/>
        <w:adjustRightInd w:val="0"/>
        <w:spacing w:after="0" w:line="480" w:lineRule="auto"/>
        <w:ind w:left="480" w:hanging="480"/>
        <w:contextualSpacing/>
        <w:rPr>
          <w:noProof/>
          <w:lang w:val="en-CA"/>
        </w:rPr>
      </w:pPr>
      <w:bookmarkStart w:id="16" w:name="_Hlk507417417"/>
      <w:r w:rsidRPr="0071085D">
        <w:rPr>
          <w:noProof/>
          <w:lang w:val="en-CA"/>
        </w:rPr>
        <w:t>Kaplan, D. L., Jones, E. J., Olson, E. C., &amp; Yunzal‐Butler, C. B. (2013).</w:t>
      </w:r>
      <w:bookmarkEnd w:id="16"/>
      <w:r w:rsidRPr="0071085D">
        <w:rPr>
          <w:noProof/>
          <w:lang w:val="en-CA"/>
        </w:rPr>
        <w:t xml:space="preserve"> Early age of first sex and health risk in an urban adolescent population. </w:t>
      </w:r>
      <w:r w:rsidRPr="0071085D">
        <w:rPr>
          <w:i/>
          <w:noProof/>
          <w:lang w:val="en-CA"/>
        </w:rPr>
        <w:t>Journal of School Health, 83</w:t>
      </w:r>
      <w:r w:rsidRPr="0071085D">
        <w:rPr>
          <w:noProof/>
          <w:lang w:val="en-CA"/>
        </w:rPr>
        <w:t>(5), 350-356.</w:t>
      </w:r>
    </w:p>
    <w:p w14:paraId="46196107" w14:textId="62450FE8" w:rsidR="0002674A" w:rsidRPr="0071085D" w:rsidRDefault="0002674A" w:rsidP="00813536">
      <w:pPr>
        <w:widowControl w:val="0"/>
        <w:autoSpaceDE w:val="0"/>
        <w:autoSpaceDN w:val="0"/>
        <w:adjustRightInd w:val="0"/>
        <w:spacing w:after="0" w:line="480" w:lineRule="auto"/>
        <w:ind w:left="480" w:hanging="480"/>
        <w:contextualSpacing/>
        <w:rPr>
          <w:noProof/>
          <w:lang w:val="en-CA"/>
        </w:rPr>
      </w:pPr>
      <w:r w:rsidRPr="0071085D">
        <w:rPr>
          <w:noProof/>
          <w:lang w:val="en-CA"/>
        </w:rPr>
        <w:t>Koivumaa-Honkanen, H., Kaprio, J., Korhonen, T., Honkanen, R. J., Heikkilä, K., &amp; Koskenvuo, M. (2012).</w:t>
      </w:r>
      <w:r w:rsidR="001F039C" w:rsidRPr="0071085D">
        <w:rPr>
          <w:noProof/>
          <w:lang w:val="en-CA"/>
        </w:rPr>
        <w:t xml:space="preserve"> </w:t>
      </w:r>
      <w:r w:rsidRPr="0071085D">
        <w:rPr>
          <w:noProof/>
          <w:lang w:val="en-CA"/>
        </w:rPr>
        <w:t xml:space="preserve">Self-reported life satisfaction and alcohol use: a 15-year follow-up of healthy adult twins. </w:t>
      </w:r>
      <w:r w:rsidRPr="0071085D">
        <w:rPr>
          <w:i/>
          <w:noProof/>
          <w:lang w:val="en-CA"/>
        </w:rPr>
        <w:t>Alcohol and alcoholism, 47</w:t>
      </w:r>
      <w:r w:rsidRPr="0071085D">
        <w:rPr>
          <w:noProof/>
          <w:lang w:val="en-CA"/>
        </w:rPr>
        <w:t>(2), 160-168.</w:t>
      </w:r>
    </w:p>
    <w:p w14:paraId="0BA0474B" w14:textId="5D063F37" w:rsidR="00813536" w:rsidRPr="0071085D" w:rsidRDefault="00813536" w:rsidP="00813536">
      <w:pPr>
        <w:widowControl w:val="0"/>
        <w:autoSpaceDE w:val="0"/>
        <w:autoSpaceDN w:val="0"/>
        <w:adjustRightInd w:val="0"/>
        <w:spacing w:after="0" w:line="480" w:lineRule="auto"/>
        <w:ind w:left="480" w:hanging="480"/>
        <w:contextualSpacing/>
        <w:rPr>
          <w:noProof/>
        </w:rPr>
      </w:pPr>
      <w:r w:rsidRPr="0071085D">
        <w:rPr>
          <w:noProof/>
          <w:lang w:val="en-CA"/>
        </w:rPr>
        <w:t xml:space="preserve">Konda, K. A., Celentano, D. D., Kegeles, S., Coates, T. J., Caceres, C. F., &amp; NIMH Collaborative HIV/STD Prevention Trial Group. (2011). Latent class analysis of sexual risk patterns among esquineros (street corner men) a group of heterosexually identified, socially marginalized men in urban coastal Peru. </w:t>
      </w:r>
      <w:r w:rsidRPr="0071085D">
        <w:rPr>
          <w:i/>
          <w:noProof/>
        </w:rPr>
        <w:t>AIDS and Behavior, 15</w:t>
      </w:r>
      <w:r w:rsidRPr="0071085D">
        <w:rPr>
          <w:noProof/>
        </w:rPr>
        <w:t xml:space="preserve">(4), 862-868. </w:t>
      </w:r>
    </w:p>
    <w:p w14:paraId="53B412CC" w14:textId="05D35207" w:rsidR="003B4A33" w:rsidRPr="0071085D" w:rsidRDefault="003B4A33" w:rsidP="00813536">
      <w:pPr>
        <w:widowControl w:val="0"/>
        <w:autoSpaceDE w:val="0"/>
        <w:autoSpaceDN w:val="0"/>
        <w:adjustRightInd w:val="0"/>
        <w:spacing w:after="0" w:line="480" w:lineRule="auto"/>
        <w:ind w:left="480" w:hanging="480"/>
        <w:contextualSpacing/>
        <w:rPr>
          <w:noProof/>
        </w:rPr>
      </w:pPr>
      <w:r w:rsidRPr="0071085D">
        <w:rPr>
          <w:noProof/>
        </w:rPr>
        <w:t xml:space="preserve">Lambert, G., Mathieu-Chartier, S., Goggin, P., Maurais, E. et </w:t>
      </w:r>
      <w:r w:rsidR="004622FC" w:rsidRPr="0071085D">
        <w:rPr>
          <w:noProof/>
        </w:rPr>
        <w:t>coll</w:t>
      </w:r>
      <w:r w:rsidRPr="0071085D">
        <w:rPr>
          <w:noProof/>
        </w:rPr>
        <w:t xml:space="preserve">. (2017). </w:t>
      </w:r>
      <w:r w:rsidRPr="0071085D">
        <w:rPr>
          <w:i/>
          <w:noProof/>
        </w:rPr>
        <w:t>Étude PIXEL, Portrait de la santé sexuelle des jeunes adultes québécois.</w:t>
      </w:r>
      <w:r w:rsidR="00727F58" w:rsidRPr="0071085D">
        <w:rPr>
          <w:noProof/>
        </w:rPr>
        <w:t xml:space="preserve"> Québec : Gouvernement du Québec.</w:t>
      </w:r>
    </w:p>
    <w:p w14:paraId="149E6DCA" w14:textId="77777777" w:rsidR="00217FEF" w:rsidRPr="0071085D" w:rsidRDefault="00352AD8" w:rsidP="00A571CA">
      <w:pPr>
        <w:widowControl w:val="0"/>
        <w:spacing w:after="0" w:line="480" w:lineRule="auto"/>
        <w:ind w:left="426" w:hanging="426"/>
        <w:contextualSpacing/>
        <w:rPr>
          <w:shd w:val="clear" w:color="auto" w:fill="FFFFFF"/>
          <w:lang w:val="en-CA"/>
        </w:rPr>
      </w:pPr>
      <w:r w:rsidRPr="0071085D">
        <w:rPr>
          <w:shd w:val="clear" w:color="auto" w:fill="FFFFFF"/>
        </w:rPr>
        <w:t xml:space="preserve">Lanza, S. T., &amp; Collins, L. M. (2008). </w:t>
      </w:r>
      <w:r w:rsidRPr="0071085D">
        <w:rPr>
          <w:shd w:val="clear" w:color="auto" w:fill="FFFFFF"/>
          <w:lang w:val="en-CA"/>
        </w:rPr>
        <w:t xml:space="preserve">A new SAS procedure for latent transition analysis: </w:t>
      </w:r>
      <w:r w:rsidRPr="0071085D">
        <w:rPr>
          <w:shd w:val="clear" w:color="auto" w:fill="FFFFFF"/>
          <w:lang w:val="en-CA"/>
        </w:rPr>
        <w:lastRenderedPageBreak/>
        <w:t>Transitions in dating and sexual risk behavior.</w:t>
      </w:r>
      <w:r w:rsidRPr="0071085D">
        <w:rPr>
          <w:rStyle w:val="Accentuation"/>
          <w:bdr w:val="none" w:sz="0" w:space="0" w:color="auto" w:frame="1"/>
          <w:shd w:val="clear" w:color="auto" w:fill="FFFFFF"/>
          <w:lang w:val="en-CA"/>
        </w:rPr>
        <w:t> Developmental Psychology, 44</w:t>
      </w:r>
      <w:r w:rsidR="00217FEF" w:rsidRPr="0071085D">
        <w:rPr>
          <w:shd w:val="clear" w:color="auto" w:fill="FFFFFF"/>
          <w:lang w:val="en-CA"/>
        </w:rPr>
        <w:t>(2), 446-456.</w:t>
      </w:r>
    </w:p>
    <w:p w14:paraId="4F2BBF2C" w14:textId="77777777" w:rsidR="00F825B2" w:rsidRPr="0071085D" w:rsidRDefault="00C170CB" w:rsidP="00A571CA">
      <w:pPr>
        <w:widowControl w:val="0"/>
        <w:spacing w:after="0" w:line="480" w:lineRule="auto"/>
        <w:ind w:left="426" w:hanging="426"/>
        <w:contextualSpacing/>
        <w:rPr>
          <w:shd w:val="clear" w:color="auto" w:fill="FFFFFF"/>
          <w:lang w:val="en-CA"/>
        </w:rPr>
      </w:pPr>
      <w:r w:rsidRPr="0071085D">
        <w:rPr>
          <w:shd w:val="clear" w:color="auto" w:fill="FFFFFF"/>
          <w:lang w:val="en-CA"/>
        </w:rPr>
        <w:t xml:space="preserve">Lanza, T. S., Tan, X., &amp; Bray, C. B. (2013). Latent class analysis with distal outcomes: A flexible model-based approach. </w:t>
      </w:r>
      <w:r w:rsidRPr="0071085D">
        <w:rPr>
          <w:i/>
          <w:shd w:val="clear" w:color="auto" w:fill="FFFFFF"/>
          <w:lang w:val="en-CA"/>
        </w:rPr>
        <w:t>Structural Equation Modeling, 20</w:t>
      </w:r>
      <w:r w:rsidRPr="0071085D">
        <w:rPr>
          <w:shd w:val="clear" w:color="auto" w:fill="FFFFFF"/>
          <w:lang w:val="en-CA"/>
        </w:rPr>
        <w:t>, 1–26.</w:t>
      </w:r>
    </w:p>
    <w:p w14:paraId="72E089D7" w14:textId="77777777" w:rsidR="0084604C" w:rsidRPr="0071085D" w:rsidRDefault="00813536" w:rsidP="0084604C">
      <w:pPr>
        <w:widowControl w:val="0"/>
        <w:spacing w:after="0" w:line="480" w:lineRule="auto"/>
        <w:ind w:left="426" w:hanging="426"/>
        <w:contextualSpacing/>
        <w:rPr>
          <w:rFonts w:eastAsia="Times New Roman"/>
          <w:shd w:val="clear" w:color="auto" w:fill="FFFFFF"/>
          <w:lang w:val="en-CA"/>
        </w:rPr>
      </w:pPr>
      <w:r w:rsidRPr="0071085D">
        <w:rPr>
          <w:rFonts w:eastAsia="Times New Roman"/>
          <w:shd w:val="clear" w:color="auto" w:fill="FFFFFF"/>
          <w:lang w:val="en-CA"/>
        </w:rPr>
        <w:t xml:space="preserve">Lim, S. H., Cheung, D. H., Guadamuz, T. E., Wei, C., Koe, S., &amp; Altice, F. L. (2015). Latent class analysis of substance </w:t>
      </w:r>
      <w:proofErr w:type="gramStart"/>
      <w:r w:rsidRPr="0071085D">
        <w:rPr>
          <w:rFonts w:eastAsia="Times New Roman"/>
          <w:shd w:val="clear" w:color="auto" w:fill="FFFFFF"/>
          <w:lang w:val="en-CA"/>
        </w:rPr>
        <w:t>use</w:t>
      </w:r>
      <w:proofErr w:type="gramEnd"/>
      <w:r w:rsidRPr="0071085D">
        <w:rPr>
          <w:rFonts w:eastAsia="Times New Roman"/>
          <w:shd w:val="clear" w:color="auto" w:fill="FFFFFF"/>
          <w:lang w:val="en-CA"/>
        </w:rPr>
        <w:t xml:space="preserve"> among men who have sex with men in Malaysia: Findings from the Asian Internet MSM Sex Survey</w:t>
      </w:r>
      <w:r w:rsidRPr="0071085D">
        <w:rPr>
          <w:rFonts w:eastAsia="Times New Roman"/>
          <w:i/>
          <w:shd w:val="clear" w:color="auto" w:fill="FFFFFF"/>
          <w:lang w:val="en-CA"/>
        </w:rPr>
        <w:t>. Drug and alcohol dependence, 151,</w:t>
      </w:r>
      <w:r w:rsidRPr="0071085D">
        <w:rPr>
          <w:rFonts w:eastAsia="Times New Roman"/>
          <w:shd w:val="clear" w:color="auto" w:fill="FFFFFF"/>
          <w:lang w:val="en-CA"/>
        </w:rPr>
        <w:t xml:space="preserve"> 31-37.</w:t>
      </w:r>
    </w:p>
    <w:p w14:paraId="0B655E25" w14:textId="5763157E" w:rsidR="0084604C" w:rsidRPr="0071085D" w:rsidRDefault="0084604C" w:rsidP="0084604C">
      <w:pPr>
        <w:widowControl w:val="0"/>
        <w:spacing w:after="0" w:line="480" w:lineRule="auto"/>
        <w:ind w:left="426" w:hanging="426"/>
        <w:contextualSpacing/>
        <w:rPr>
          <w:rFonts w:eastAsia="Times New Roman"/>
          <w:shd w:val="clear" w:color="auto" w:fill="FFFFFF"/>
          <w:lang w:val="en-CA"/>
        </w:rPr>
      </w:pPr>
      <w:r w:rsidRPr="0071085D">
        <w:rPr>
          <w:lang w:val="en-CA"/>
        </w:rPr>
        <w:t xml:space="preserve">Lucas, A., Boislard, M.A., Poulin, F. (2020). Why Do Socially Withdrawn Children Tend to Become Heterosexually Active Later than Their Peers? A Mediation Model. </w:t>
      </w:r>
      <w:r w:rsidRPr="0071085D">
        <w:rPr>
          <w:i/>
          <w:iCs/>
          <w:lang w:val="en-CA"/>
        </w:rPr>
        <w:t>The Journal of Sex Research</w:t>
      </w:r>
      <w:r w:rsidRPr="0071085D">
        <w:rPr>
          <w:lang w:val="en-CA"/>
        </w:rPr>
        <w:t xml:space="preserve">, </w:t>
      </w:r>
      <w:r w:rsidR="001F645C" w:rsidRPr="0071085D">
        <w:rPr>
          <w:i/>
          <w:iCs/>
          <w:lang w:val="en-CA"/>
        </w:rPr>
        <w:t>57</w:t>
      </w:r>
      <w:r w:rsidRPr="0071085D">
        <w:rPr>
          <w:lang w:val="en-CA"/>
        </w:rPr>
        <w:t>(</w:t>
      </w:r>
      <w:r w:rsidR="001F645C" w:rsidRPr="0071085D">
        <w:rPr>
          <w:lang w:val="en-CA"/>
        </w:rPr>
        <w:t>9</w:t>
      </w:r>
      <w:r w:rsidRPr="0071085D">
        <w:rPr>
          <w:lang w:val="en-CA"/>
        </w:rPr>
        <w:t>), 1</w:t>
      </w:r>
      <w:r w:rsidR="001F645C" w:rsidRPr="0071085D">
        <w:rPr>
          <w:lang w:val="en-CA"/>
        </w:rPr>
        <w:t>1146</w:t>
      </w:r>
      <w:r w:rsidRPr="0071085D">
        <w:rPr>
          <w:lang w:val="en-CA"/>
        </w:rPr>
        <w:t>–1</w:t>
      </w:r>
      <w:r w:rsidR="001F645C" w:rsidRPr="0071085D">
        <w:rPr>
          <w:lang w:val="en-CA"/>
        </w:rPr>
        <w:t>155</w:t>
      </w:r>
      <w:r w:rsidRPr="0071085D">
        <w:rPr>
          <w:lang w:val="en-CA"/>
        </w:rPr>
        <w:t>. https://doi.org/10.1080/00224499.2019.1685071</w:t>
      </w:r>
    </w:p>
    <w:p w14:paraId="3F0C7D15" w14:textId="4658635B" w:rsidR="00EE3096" w:rsidRPr="0071085D" w:rsidRDefault="00EE3096" w:rsidP="00A571CA">
      <w:pPr>
        <w:widowControl w:val="0"/>
        <w:spacing w:after="0" w:line="480" w:lineRule="auto"/>
        <w:ind w:left="426" w:hanging="426"/>
        <w:contextualSpacing/>
        <w:rPr>
          <w:noProof/>
          <w:lang w:val="en-CA"/>
        </w:rPr>
      </w:pPr>
      <w:r w:rsidRPr="0071085D">
        <w:rPr>
          <w:noProof/>
          <w:lang w:val="en-CA"/>
        </w:rPr>
        <w:t>Masters, N. T., Casey, E., Beadnell, B., Morrison, D. M., Hoppe, M. J., &amp; Wells, E. A. (2015). Condoms and contexts: Profiles of sexual risk and safety among young heterosexually active men</w:t>
      </w:r>
      <w:r w:rsidRPr="0071085D">
        <w:rPr>
          <w:i/>
          <w:noProof/>
          <w:lang w:val="en-CA"/>
        </w:rPr>
        <w:t>. Journal of Sex Research, 52</w:t>
      </w:r>
      <w:r w:rsidRPr="0071085D">
        <w:rPr>
          <w:noProof/>
          <w:lang w:val="en-CA"/>
        </w:rPr>
        <w:t>(7), 781-794.</w:t>
      </w:r>
    </w:p>
    <w:p w14:paraId="1143F99C" w14:textId="6DC9C41F" w:rsidR="00813536" w:rsidRPr="0071085D" w:rsidRDefault="00813536" w:rsidP="00A571CA">
      <w:pPr>
        <w:widowControl w:val="0"/>
        <w:spacing w:after="0" w:line="480" w:lineRule="auto"/>
        <w:ind w:left="426" w:hanging="426"/>
        <w:contextualSpacing/>
        <w:rPr>
          <w:noProof/>
          <w:lang w:val="en-CA"/>
        </w:rPr>
      </w:pPr>
      <w:r w:rsidRPr="0071085D">
        <w:rPr>
          <w:noProof/>
          <w:lang w:val="en-CA"/>
        </w:rPr>
        <w:t xml:space="preserve">McCarty-Caplan, D., Jantz, I., &amp; Swartz, J. (2014). MSM and drug use: A latent class analysis of drug use and related sexual risk behaviors. </w:t>
      </w:r>
      <w:r w:rsidRPr="0071085D">
        <w:rPr>
          <w:i/>
          <w:noProof/>
          <w:lang w:val="en-CA"/>
        </w:rPr>
        <w:t>AIDS and Behavior, 18</w:t>
      </w:r>
      <w:r w:rsidRPr="0071085D">
        <w:rPr>
          <w:noProof/>
          <w:lang w:val="en-CA"/>
        </w:rPr>
        <w:t xml:space="preserve">(7), 1339-1351. </w:t>
      </w:r>
    </w:p>
    <w:p w14:paraId="1E7318D1" w14:textId="0116C2C0" w:rsidR="00EE3096" w:rsidRPr="0071085D" w:rsidRDefault="000B5AB0" w:rsidP="00A571CA">
      <w:pPr>
        <w:widowControl w:val="0"/>
        <w:spacing w:after="0" w:line="480" w:lineRule="auto"/>
        <w:ind w:left="426" w:hanging="426"/>
        <w:contextualSpacing/>
        <w:rPr>
          <w:noProof/>
          <w:lang w:val="en-CA"/>
        </w:rPr>
      </w:pPr>
      <w:r w:rsidRPr="0071085D">
        <w:rPr>
          <w:noProof/>
          <w:lang w:val="en-CA"/>
        </w:rPr>
        <w:t>Metzger, I.W., Cooper, S.M., Ritchwood, T.D., Onyeuku, C., &amp; Griffin, C.</w:t>
      </w:r>
      <w:r w:rsidR="00EE3096" w:rsidRPr="0071085D">
        <w:rPr>
          <w:noProof/>
          <w:lang w:val="en-CA"/>
        </w:rPr>
        <w:t xml:space="preserve">B. (2017). Profiles of African American college students’ alcohol use and sexual behaviors: Associations with stress, racial discrimination, and social support. </w:t>
      </w:r>
      <w:r w:rsidRPr="0071085D">
        <w:rPr>
          <w:i/>
          <w:noProof/>
          <w:lang w:val="en-CA"/>
        </w:rPr>
        <w:t>J</w:t>
      </w:r>
      <w:r w:rsidR="00EE3096" w:rsidRPr="0071085D">
        <w:rPr>
          <w:i/>
          <w:noProof/>
          <w:lang w:val="en-CA"/>
        </w:rPr>
        <w:t>ournal of Sex Research, 54</w:t>
      </w:r>
      <w:r w:rsidR="00EE3096" w:rsidRPr="0071085D">
        <w:rPr>
          <w:noProof/>
          <w:lang w:val="en-CA"/>
        </w:rPr>
        <w:t>(3), 374-385.</w:t>
      </w:r>
    </w:p>
    <w:p w14:paraId="6B6CA018" w14:textId="2E2014B5" w:rsidR="004B3476" w:rsidRPr="0071085D" w:rsidRDefault="004B3476" w:rsidP="00A571CA">
      <w:pPr>
        <w:widowControl w:val="0"/>
        <w:autoSpaceDE w:val="0"/>
        <w:autoSpaceDN w:val="0"/>
        <w:adjustRightInd w:val="0"/>
        <w:spacing w:after="0" w:line="480" w:lineRule="auto"/>
        <w:ind w:left="426" w:hanging="426"/>
        <w:contextualSpacing/>
        <w:rPr>
          <w:lang w:val="en-CA"/>
        </w:rPr>
      </w:pPr>
      <w:proofErr w:type="spellStart"/>
      <w:r w:rsidRPr="0071085D">
        <w:rPr>
          <w:lang w:val="en-CA"/>
        </w:rPr>
        <w:t>Muthén</w:t>
      </w:r>
      <w:proofErr w:type="spellEnd"/>
      <w:r w:rsidRPr="0071085D">
        <w:rPr>
          <w:lang w:val="en-CA"/>
        </w:rPr>
        <w:t xml:space="preserve">, B. (2013). </w:t>
      </w:r>
      <w:r w:rsidRPr="0071085D">
        <w:rPr>
          <w:i/>
          <w:iCs/>
          <w:lang w:val="en-CA"/>
        </w:rPr>
        <w:t>Three-Step Latent Transition Analysis</w:t>
      </w:r>
      <w:r w:rsidRPr="0071085D">
        <w:rPr>
          <w:lang w:val="en-CA"/>
        </w:rPr>
        <w:t xml:space="preserve"> [Paper Presentation]. Modern Modeling Methods Conference, Storrs, United States of America. </w:t>
      </w:r>
    </w:p>
    <w:p w14:paraId="7FADA693" w14:textId="7F1889D5" w:rsidR="00CF036C" w:rsidRPr="0071085D" w:rsidRDefault="00352AD8" w:rsidP="00A571CA">
      <w:pPr>
        <w:widowControl w:val="0"/>
        <w:autoSpaceDE w:val="0"/>
        <w:autoSpaceDN w:val="0"/>
        <w:adjustRightInd w:val="0"/>
        <w:spacing w:after="0" w:line="480" w:lineRule="auto"/>
        <w:ind w:left="426" w:hanging="426"/>
        <w:contextualSpacing/>
        <w:rPr>
          <w:lang w:val="en-CA"/>
        </w:rPr>
      </w:pPr>
      <w:r w:rsidRPr="0071085D">
        <w:rPr>
          <w:lang w:val="en-CA"/>
        </w:rPr>
        <w:t xml:space="preserve">Nylund, K. L., </w:t>
      </w:r>
      <w:proofErr w:type="spellStart"/>
      <w:r w:rsidRPr="0071085D">
        <w:rPr>
          <w:lang w:val="en-CA"/>
        </w:rPr>
        <w:t>Asparouhov</w:t>
      </w:r>
      <w:proofErr w:type="spellEnd"/>
      <w:r w:rsidRPr="0071085D">
        <w:rPr>
          <w:lang w:val="en-CA"/>
        </w:rPr>
        <w:t xml:space="preserve">, T., &amp; </w:t>
      </w:r>
      <w:proofErr w:type="spellStart"/>
      <w:r w:rsidRPr="0071085D">
        <w:rPr>
          <w:lang w:val="en-CA"/>
        </w:rPr>
        <w:t>Muth</w:t>
      </w:r>
      <w:r w:rsidR="00CD792C" w:rsidRPr="0071085D">
        <w:rPr>
          <w:lang w:val="en-CA"/>
        </w:rPr>
        <w:t>é</w:t>
      </w:r>
      <w:r w:rsidRPr="0071085D">
        <w:rPr>
          <w:lang w:val="en-CA"/>
        </w:rPr>
        <w:t>n</w:t>
      </w:r>
      <w:proofErr w:type="spellEnd"/>
      <w:r w:rsidRPr="0071085D">
        <w:rPr>
          <w:lang w:val="en-CA"/>
        </w:rPr>
        <w:t xml:space="preserve">, B. O. (2007). Deciding on the number of classes in latent class analysis and growth mixture modeling: A Monte Carlo simulation study. </w:t>
      </w:r>
      <w:r w:rsidRPr="0071085D">
        <w:rPr>
          <w:i/>
          <w:lang w:val="en-CA"/>
        </w:rPr>
        <w:t>Structural Equation Modeling, 14</w:t>
      </w:r>
      <w:r w:rsidRPr="0071085D">
        <w:rPr>
          <w:lang w:val="en-CA"/>
        </w:rPr>
        <w:t>, 535–569.</w:t>
      </w:r>
    </w:p>
    <w:p w14:paraId="0043B56E" w14:textId="351D1F37" w:rsidR="00CF036C" w:rsidRPr="0071085D" w:rsidRDefault="00CF036C" w:rsidP="00A571CA">
      <w:pPr>
        <w:widowControl w:val="0"/>
        <w:autoSpaceDE w:val="0"/>
        <w:autoSpaceDN w:val="0"/>
        <w:adjustRightInd w:val="0"/>
        <w:spacing w:after="0" w:line="480" w:lineRule="auto"/>
        <w:ind w:left="426" w:hanging="426"/>
        <w:contextualSpacing/>
      </w:pPr>
      <w:r w:rsidRPr="0071085D">
        <w:rPr>
          <w:lang w:val="en-CA"/>
        </w:rPr>
        <w:t xml:space="preserve">Oliveira Jr., W. M. D., &amp; Abdo, C. H. N. (2010). Unconventional sexual behaviors and their </w:t>
      </w:r>
      <w:r w:rsidRPr="0071085D">
        <w:rPr>
          <w:lang w:val="en-CA"/>
        </w:rPr>
        <w:lastRenderedPageBreak/>
        <w:t xml:space="preserve">associations with physical, mental and sexual health parameters: a study in 18 large Brazilian cities. </w:t>
      </w:r>
      <w:proofErr w:type="spellStart"/>
      <w:r w:rsidRPr="0071085D">
        <w:rPr>
          <w:i/>
        </w:rPr>
        <w:t>Revista</w:t>
      </w:r>
      <w:proofErr w:type="spellEnd"/>
      <w:r w:rsidRPr="0071085D">
        <w:rPr>
          <w:i/>
        </w:rPr>
        <w:t xml:space="preserve"> Brasileira de </w:t>
      </w:r>
      <w:proofErr w:type="spellStart"/>
      <w:r w:rsidRPr="0071085D">
        <w:rPr>
          <w:i/>
        </w:rPr>
        <w:t>Psiquiatria</w:t>
      </w:r>
      <w:proofErr w:type="spellEnd"/>
      <w:r w:rsidRPr="0071085D">
        <w:rPr>
          <w:i/>
        </w:rPr>
        <w:t>, 32</w:t>
      </w:r>
      <w:r w:rsidR="003E7B23" w:rsidRPr="0071085D">
        <w:t>(3), 264-274.</w:t>
      </w:r>
    </w:p>
    <w:p w14:paraId="01A0F41E" w14:textId="03A23620" w:rsidR="00DF0FE0" w:rsidRPr="0071085D" w:rsidRDefault="00DF0FE0" w:rsidP="00A571CA">
      <w:pPr>
        <w:widowControl w:val="0"/>
        <w:autoSpaceDE w:val="0"/>
        <w:autoSpaceDN w:val="0"/>
        <w:adjustRightInd w:val="0"/>
        <w:spacing w:after="0" w:line="480" w:lineRule="auto"/>
        <w:ind w:left="426" w:hanging="426"/>
        <w:contextualSpacing/>
        <w:rPr>
          <w:rFonts w:eastAsia="Times New Roman"/>
          <w:lang w:val="en-CA" w:eastAsia="fr-CA"/>
        </w:rPr>
      </w:pPr>
      <w:r w:rsidRPr="0071085D">
        <w:rPr>
          <w:rFonts w:eastAsia="Times New Roman"/>
          <w:lang w:eastAsia="fr-CA"/>
        </w:rPr>
        <w:t xml:space="preserve">Patrick, M. E., &amp; Maggs, J. L. (2010). </w:t>
      </w:r>
      <w:r w:rsidRPr="0071085D">
        <w:rPr>
          <w:rFonts w:eastAsia="Times New Roman"/>
          <w:lang w:val="en-CA" w:eastAsia="fr-CA"/>
        </w:rPr>
        <w:t xml:space="preserve">Profiles of motivations for alcohol use and sexual behavior among first-year university students. </w:t>
      </w:r>
      <w:r w:rsidRPr="0071085D">
        <w:rPr>
          <w:rFonts w:eastAsia="Times New Roman"/>
          <w:i/>
          <w:lang w:val="en-CA" w:eastAsia="fr-CA"/>
        </w:rPr>
        <w:t>Journal of adolescence, 33</w:t>
      </w:r>
      <w:r w:rsidRPr="0071085D">
        <w:rPr>
          <w:rFonts w:eastAsia="Times New Roman"/>
          <w:lang w:val="en-CA" w:eastAsia="fr-CA"/>
        </w:rPr>
        <w:t>(5), 755-765.</w:t>
      </w:r>
    </w:p>
    <w:p w14:paraId="58797791" w14:textId="756B7E8D" w:rsidR="003E7B23" w:rsidRPr="0071085D" w:rsidRDefault="003E7B23" w:rsidP="00182320">
      <w:pPr>
        <w:widowControl w:val="0"/>
        <w:autoSpaceDE w:val="0"/>
        <w:autoSpaceDN w:val="0"/>
        <w:adjustRightInd w:val="0"/>
        <w:spacing w:after="0" w:line="480" w:lineRule="auto"/>
        <w:ind w:left="480" w:hanging="480"/>
        <w:contextualSpacing/>
        <w:rPr>
          <w:lang w:val="en-US"/>
        </w:rPr>
      </w:pPr>
      <w:r w:rsidRPr="0071085D">
        <w:rPr>
          <w:lang w:val="en-CA"/>
        </w:rPr>
        <w:t xml:space="preserve">Powell, R. D. (2010). </w:t>
      </w:r>
      <w:r w:rsidRPr="0071085D">
        <w:rPr>
          <w:i/>
          <w:lang w:val="en-CA"/>
        </w:rPr>
        <w:t xml:space="preserve">Bondage and discipline, domination and submission, </w:t>
      </w:r>
      <w:proofErr w:type="spellStart"/>
      <w:r w:rsidRPr="0071085D">
        <w:rPr>
          <w:i/>
          <w:lang w:val="en-CA"/>
        </w:rPr>
        <w:t>sado</w:t>
      </w:r>
      <w:proofErr w:type="spellEnd"/>
      <w:r w:rsidRPr="0071085D">
        <w:rPr>
          <w:i/>
          <w:lang w:val="en-CA"/>
        </w:rPr>
        <w:t>-masochism (BDSM): Partnerships, couples, and health outcomes</w:t>
      </w:r>
      <w:r w:rsidRPr="0071085D">
        <w:rPr>
          <w:lang w:val="en-CA"/>
        </w:rPr>
        <w:t xml:space="preserve">. </w:t>
      </w:r>
      <w:r w:rsidR="0039675C" w:rsidRPr="0071085D">
        <w:rPr>
          <w:lang w:val="en-CA"/>
        </w:rPr>
        <w:t xml:space="preserve">Thesis: </w:t>
      </w:r>
      <w:r w:rsidRPr="0071085D">
        <w:rPr>
          <w:lang w:val="en-US"/>
        </w:rPr>
        <w:t>University of Southern California</w:t>
      </w:r>
      <w:r w:rsidR="00A533B9" w:rsidRPr="0071085D">
        <w:rPr>
          <w:lang w:val="en-US"/>
        </w:rPr>
        <w:t>, USA</w:t>
      </w:r>
      <w:r w:rsidRPr="0071085D">
        <w:rPr>
          <w:lang w:val="en-US"/>
        </w:rPr>
        <w:t>.</w:t>
      </w:r>
    </w:p>
    <w:p w14:paraId="3DE43B7A" w14:textId="27B9F1CF" w:rsidR="00A146C1" w:rsidRPr="0071085D" w:rsidRDefault="00A146C1" w:rsidP="00182320">
      <w:pPr>
        <w:widowControl w:val="0"/>
        <w:autoSpaceDE w:val="0"/>
        <w:autoSpaceDN w:val="0"/>
        <w:adjustRightInd w:val="0"/>
        <w:spacing w:after="0" w:line="480" w:lineRule="auto"/>
        <w:ind w:left="480" w:hanging="480"/>
        <w:contextualSpacing/>
        <w:rPr>
          <w:lang w:val="en-US"/>
        </w:rPr>
      </w:pPr>
      <w:r w:rsidRPr="0071085D">
        <w:rPr>
          <w:lang w:val="en-US"/>
        </w:rPr>
        <w:t xml:space="preserve">Presley, C. A., &amp; Pimentel, E. R. (2006). The introduction of the heavy and frequent drinker: a proposed classification to increase accuracy of alcohol assessments in postsecondary educational settings. </w:t>
      </w:r>
      <w:r w:rsidRPr="0071085D">
        <w:rPr>
          <w:i/>
          <w:lang w:val="en-US"/>
        </w:rPr>
        <w:t>Journal of studies on alcohol, 67</w:t>
      </w:r>
      <w:r w:rsidRPr="0071085D">
        <w:rPr>
          <w:lang w:val="en-US"/>
        </w:rPr>
        <w:t>(2), 324-331.</w:t>
      </w:r>
    </w:p>
    <w:p w14:paraId="1BFD6679" w14:textId="1B8AD3AF" w:rsidR="00D55B59" w:rsidRPr="0071085D" w:rsidRDefault="00D55B59" w:rsidP="00182320">
      <w:pPr>
        <w:widowControl w:val="0"/>
        <w:autoSpaceDE w:val="0"/>
        <w:autoSpaceDN w:val="0"/>
        <w:adjustRightInd w:val="0"/>
        <w:spacing w:after="0" w:line="480" w:lineRule="auto"/>
        <w:ind w:left="480" w:hanging="480"/>
        <w:contextualSpacing/>
        <w:rPr>
          <w:noProof/>
          <w:lang w:val="en-CA"/>
        </w:rPr>
      </w:pPr>
      <w:r w:rsidRPr="0071085D">
        <w:rPr>
          <w:noProof/>
          <w:lang w:val="en-US"/>
        </w:rPr>
        <w:t xml:space="preserve">Rehm, J., Shield, K. D., Joharchi, N., &amp; Shuper, P. A. (2012). Alcohol consumption and the intention to engage in unprotected sex: Systematic review and meta‐analysis of experimental studies. </w:t>
      </w:r>
      <w:r w:rsidRPr="0071085D">
        <w:rPr>
          <w:i/>
          <w:noProof/>
          <w:lang w:val="en-CA"/>
        </w:rPr>
        <w:t>Addiction, 107</w:t>
      </w:r>
      <w:r w:rsidRPr="0071085D">
        <w:rPr>
          <w:noProof/>
          <w:lang w:val="en-CA"/>
        </w:rPr>
        <w:t xml:space="preserve">(1), 51-59. </w:t>
      </w:r>
    </w:p>
    <w:p w14:paraId="62564CF0" w14:textId="077D20A9" w:rsidR="00F57D34" w:rsidRPr="0071085D" w:rsidRDefault="00F57D34" w:rsidP="00A571CA">
      <w:pPr>
        <w:widowControl w:val="0"/>
        <w:autoSpaceDE w:val="0"/>
        <w:autoSpaceDN w:val="0"/>
        <w:adjustRightInd w:val="0"/>
        <w:spacing w:after="0" w:line="480" w:lineRule="auto"/>
        <w:ind w:left="426" w:hanging="426"/>
        <w:contextualSpacing/>
        <w:rPr>
          <w:lang w:val="en-US"/>
        </w:rPr>
      </w:pPr>
      <w:r w:rsidRPr="0071085D">
        <w:rPr>
          <w:lang w:val="en-US"/>
        </w:rPr>
        <w:t xml:space="preserve">Rice, C. E., Norris Turner, A., &amp; Lanza, S. T. (2017). </w:t>
      </w:r>
      <w:r w:rsidR="00A533B9" w:rsidRPr="0071085D">
        <w:rPr>
          <w:lang w:val="en-US"/>
        </w:rPr>
        <w:t>Sexual behavior latent classes among men who have sex with men: Associations with sexually transmitted infections</w:t>
      </w:r>
      <w:r w:rsidRPr="0071085D">
        <w:rPr>
          <w:lang w:val="en-US"/>
        </w:rPr>
        <w:t>.</w:t>
      </w:r>
      <w:r w:rsidRPr="0071085D">
        <w:rPr>
          <w:i/>
          <w:lang w:val="en-US"/>
        </w:rPr>
        <w:t xml:space="preserve"> Journal of Sex Research</w:t>
      </w:r>
      <w:r w:rsidRPr="0071085D">
        <w:rPr>
          <w:lang w:val="en-US"/>
        </w:rPr>
        <w:t>, 54(6), 776-783.</w:t>
      </w:r>
      <w:r w:rsidRPr="0071085D" w:rsidDel="00F57D34">
        <w:rPr>
          <w:lang w:val="en-US"/>
        </w:rPr>
        <w:t xml:space="preserve"> </w:t>
      </w:r>
    </w:p>
    <w:p w14:paraId="7E8F08D8" w14:textId="03E1AE31" w:rsidR="00C7210D" w:rsidRPr="0071085D" w:rsidRDefault="005973E1" w:rsidP="00A571CA">
      <w:pPr>
        <w:widowControl w:val="0"/>
        <w:autoSpaceDE w:val="0"/>
        <w:autoSpaceDN w:val="0"/>
        <w:adjustRightInd w:val="0"/>
        <w:spacing w:after="0" w:line="480" w:lineRule="auto"/>
        <w:ind w:left="426" w:hanging="426"/>
        <w:contextualSpacing/>
        <w:rPr>
          <w:lang w:val="en-US"/>
        </w:rPr>
      </w:pPr>
      <w:r w:rsidRPr="0071085D">
        <w:rPr>
          <w:lang w:val="en-US"/>
        </w:rPr>
        <w:t xml:space="preserve">Rosenberg, M. (1965). </w:t>
      </w:r>
      <w:r w:rsidRPr="0071085D">
        <w:rPr>
          <w:i/>
          <w:lang w:val="en-US"/>
        </w:rPr>
        <w:t xml:space="preserve">Society and </w:t>
      </w:r>
      <w:proofErr w:type="gramStart"/>
      <w:r w:rsidRPr="0071085D">
        <w:rPr>
          <w:i/>
          <w:lang w:val="en-US"/>
        </w:rPr>
        <w:t>the adolescent</w:t>
      </w:r>
      <w:proofErr w:type="gramEnd"/>
      <w:r w:rsidRPr="0071085D">
        <w:rPr>
          <w:i/>
          <w:lang w:val="en-US"/>
        </w:rPr>
        <w:t xml:space="preserve"> self-image.</w:t>
      </w:r>
      <w:r w:rsidRPr="0071085D">
        <w:rPr>
          <w:lang w:val="en-US"/>
        </w:rPr>
        <w:t xml:space="preserve"> Princeton: Princeton University Press</w:t>
      </w:r>
      <w:r w:rsidR="00A533B9" w:rsidRPr="0071085D">
        <w:rPr>
          <w:lang w:val="en-US"/>
        </w:rPr>
        <w:t>, USA</w:t>
      </w:r>
      <w:r w:rsidRPr="0071085D">
        <w:rPr>
          <w:lang w:val="en-US"/>
        </w:rPr>
        <w:t>.</w:t>
      </w:r>
    </w:p>
    <w:p w14:paraId="0CDD6936" w14:textId="4C582BFD" w:rsidR="003D6429" w:rsidRPr="0071085D" w:rsidRDefault="003D6429" w:rsidP="00A571CA">
      <w:pPr>
        <w:widowControl w:val="0"/>
        <w:autoSpaceDE w:val="0"/>
        <w:autoSpaceDN w:val="0"/>
        <w:adjustRightInd w:val="0"/>
        <w:spacing w:after="0" w:line="480" w:lineRule="auto"/>
        <w:ind w:left="426" w:hanging="426"/>
        <w:contextualSpacing/>
        <w:rPr>
          <w:lang w:val="en-CA"/>
        </w:rPr>
      </w:pPr>
      <w:r w:rsidRPr="0071085D">
        <w:rPr>
          <w:lang w:val="en-CA"/>
        </w:rPr>
        <w:t>Sanders, S. A., &amp; Reinisch, J. M. (1999). Would you say you ‘had se</w:t>
      </w:r>
      <w:r w:rsidR="00E0363B" w:rsidRPr="0071085D">
        <w:rPr>
          <w:lang w:val="en-CA"/>
        </w:rPr>
        <w:t xml:space="preserve">x’ if ...? </w:t>
      </w:r>
      <w:r w:rsidR="00E0363B" w:rsidRPr="0071085D">
        <w:rPr>
          <w:i/>
          <w:lang w:val="en-CA"/>
        </w:rPr>
        <w:t>Journal of the Amer</w:t>
      </w:r>
      <w:r w:rsidRPr="0071085D">
        <w:rPr>
          <w:i/>
          <w:lang w:val="en-CA"/>
        </w:rPr>
        <w:t>ican Medical Association, 281</w:t>
      </w:r>
      <w:r w:rsidRPr="0071085D">
        <w:rPr>
          <w:lang w:val="en-CA"/>
        </w:rPr>
        <w:t>, 275–277.</w:t>
      </w:r>
    </w:p>
    <w:p w14:paraId="6E4B9C97" w14:textId="7F013A4E" w:rsidR="00D77194" w:rsidRPr="0071085D" w:rsidRDefault="00D77194" w:rsidP="00A571CA">
      <w:pPr>
        <w:widowControl w:val="0"/>
        <w:autoSpaceDE w:val="0"/>
        <w:autoSpaceDN w:val="0"/>
        <w:adjustRightInd w:val="0"/>
        <w:spacing w:after="0" w:line="480" w:lineRule="auto"/>
        <w:ind w:left="426" w:hanging="426"/>
        <w:contextualSpacing/>
        <w:rPr>
          <w:lang w:val="en-CA"/>
        </w:rPr>
      </w:pPr>
      <w:r w:rsidRPr="0071085D">
        <w:rPr>
          <w:rFonts w:eastAsia="Times New Roman"/>
          <w:lang w:val="en-CA"/>
        </w:rPr>
        <w:t xml:space="preserve">Stinson, R. D., Levy, L. B., &amp; Alt, M. (2014). “They're Just a Good Time and Move On”: Fraternity Men Reflect on Their Hookup Experiences. </w:t>
      </w:r>
      <w:r w:rsidRPr="0071085D">
        <w:rPr>
          <w:rFonts w:eastAsia="Times New Roman"/>
          <w:i/>
          <w:lang w:val="en-CA"/>
        </w:rPr>
        <w:t>Journal of College Student Psychotherapy, 28</w:t>
      </w:r>
      <w:r w:rsidRPr="0071085D">
        <w:rPr>
          <w:rFonts w:eastAsia="Times New Roman"/>
          <w:lang w:val="en-CA"/>
        </w:rPr>
        <w:t>(1), 59-73.</w:t>
      </w:r>
    </w:p>
    <w:p w14:paraId="24DEF9CC" w14:textId="091FB04C" w:rsidR="00402FF5" w:rsidRPr="0071085D" w:rsidRDefault="00402FF5" w:rsidP="00A571CA">
      <w:pPr>
        <w:widowControl w:val="0"/>
        <w:spacing w:after="0" w:line="480" w:lineRule="auto"/>
        <w:ind w:left="426" w:hanging="426"/>
        <w:contextualSpacing/>
        <w:rPr>
          <w:lang w:val="en-CA"/>
        </w:rPr>
      </w:pPr>
      <w:r w:rsidRPr="0071085D">
        <w:rPr>
          <w:lang w:val="en-CA"/>
        </w:rPr>
        <w:lastRenderedPageBreak/>
        <w:t>Strahan, R., &amp; Gerbasi, K. C. (1972). Short, homogenous versions of the Marlow</w:t>
      </w:r>
      <w:r w:rsidR="00233FF8" w:rsidRPr="0071085D">
        <w:rPr>
          <w:lang w:val="en-CA"/>
        </w:rPr>
        <w:t>e</w:t>
      </w:r>
      <w:r w:rsidR="00DB0A98" w:rsidRPr="0071085D">
        <w:rPr>
          <w:lang w:val="en-CA"/>
        </w:rPr>
        <w:t xml:space="preserve">-Crowne Social Desirability Scale. </w:t>
      </w:r>
      <w:r w:rsidR="00DB0A98" w:rsidRPr="0071085D">
        <w:rPr>
          <w:i/>
          <w:lang w:val="en-CA"/>
        </w:rPr>
        <w:t>Journal of Clinical Psychology, 28</w:t>
      </w:r>
      <w:r w:rsidR="00DB0A98" w:rsidRPr="0071085D">
        <w:rPr>
          <w:lang w:val="en-CA"/>
        </w:rPr>
        <w:t>(2), 191-193.</w:t>
      </w:r>
    </w:p>
    <w:p w14:paraId="1FBAF99A" w14:textId="7F9BB24C" w:rsidR="00333E43" w:rsidRPr="0071085D" w:rsidRDefault="00333E43" w:rsidP="00A571CA">
      <w:pPr>
        <w:widowControl w:val="0"/>
        <w:spacing w:after="0" w:line="480" w:lineRule="auto"/>
        <w:ind w:left="426" w:hanging="426"/>
        <w:contextualSpacing/>
        <w:rPr>
          <w:lang w:val="en-CA"/>
        </w:rPr>
      </w:pPr>
      <w:r w:rsidRPr="0071085D">
        <w:rPr>
          <w:lang w:val="en-CA"/>
        </w:rPr>
        <w:t xml:space="preserve">Sullivan, C. J., Childs, K. K., &amp; O’Connell, D. (2010). Adolescent risk behavior subgroups: An empirical assessment. </w:t>
      </w:r>
      <w:r w:rsidRPr="0071085D">
        <w:rPr>
          <w:i/>
          <w:lang w:val="en-CA"/>
        </w:rPr>
        <w:t>Journal of Youth and Adolescence, 39</w:t>
      </w:r>
      <w:r w:rsidRPr="0071085D">
        <w:rPr>
          <w:lang w:val="en-CA"/>
        </w:rPr>
        <w:t>(5), 541-562.</w:t>
      </w:r>
    </w:p>
    <w:p w14:paraId="39B84E71" w14:textId="5A899986" w:rsidR="00654016" w:rsidRPr="0071085D" w:rsidRDefault="00654016" w:rsidP="00A571CA">
      <w:pPr>
        <w:widowControl w:val="0"/>
        <w:spacing w:after="0" w:line="480" w:lineRule="auto"/>
        <w:ind w:left="426" w:hanging="426"/>
        <w:contextualSpacing/>
        <w:rPr>
          <w:lang w:val="en-US"/>
        </w:rPr>
      </w:pPr>
      <w:r w:rsidRPr="0071085D">
        <w:rPr>
          <w:lang w:val="en-US"/>
        </w:rPr>
        <w:t xml:space="preserve">Townshend, J. M., </w:t>
      </w:r>
      <w:proofErr w:type="spellStart"/>
      <w:r w:rsidRPr="0071085D">
        <w:rPr>
          <w:lang w:val="en-US"/>
        </w:rPr>
        <w:t>Kambouropoulos</w:t>
      </w:r>
      <w:proofErr w:type="spellEnd"/>
      <w:r w:rsidRPr="0071085D">
        <w:rPr>
          <w:lang w:val="en-US"/>
        </w:rPr>
        <w:t>, N., Griffin, A., Hunt, F.</w:t>
      </w:r>
      <w:r w:rsidR="00A533B9" w:rsidRPr="0071085D">
        <w:rPr>
          <w:lang w:val="en-US"/>
        </w:rPr>
        <w:t xml:space="preserve"> </w:t>
      </w:r>
      <w:r w:rsidRPr="0071085D">
        <w:rPr>
          <w:lang w:val="en-US"/>
        </w:rPr>
        <w:t xml:space="preserve">J., &amp; Milani, R. M. (2014). Binge drinking, reflection impulsivity, and unplanned sexual behavior: </w:t>
      </w:r>
      <w:r w:rsidR="00A533B9" w:rsidRPr="0071085D">
        <w:rPr>
          <w:lang w:val="en-US"/>
        </w:rPr>
        <w:t>I</w:t>
      </w:r>
      <w:r w:rsidRPr="0071085D">
        <w:rPr>
          <w:lang w:val="en-US"/>
        </w:rPr>
        <w:t xml:space="preserve">mpaired decision‐making in young social drinkers. </w:t>
      </w:r>
      <w:r w:rsidRPr="0071085D">
        <w:rPr>
          <w:i/>
          <w:lang w:val="en-CA"/>
        </w:rPr>
        <w:t>Alcoholism:</w:t>
      </w:r>
      <w:r w:rsidR="00A533B9" w:rsidRPr="0071085D">
        <w:rPr>
          <w:i/>
          <w:lang w:val="en-CA"/>
        </w:rPr>
        <w:t xml:space="preserve"> </w:t>
      </w:r>
      <w:r w:rsidRPr="0071085D">
        <w:rPr>
          <w:i/>
          <w:lang w:val="en-CA"/>
        </w:rPr>
        <w:t>Clinical and Experimental Research, 38(</w:t>
      </w:r>
      <w:r w:rsidRPr="0071085D">
        <w:rPr>
          <w:lang w:val="en-CA"/>
        </w:rPr>
        <w:t>4), 1143-1150</w:t>
      </w:r>
      <w:r w:rsidRPr="0071085D">
        <w:rPr>
          <w:lang w:val="en-US"/>
        </w:rPr>
        <w:t xml:space="preserve">. </w:t>
      </w:r>
    </w:p>
    <w:p w14:paraId="09A0C17B" w14:textId="0BEE0CF6" w:rsidR="00C97680" w:rsidRPr="0071085D" w:rsidRDefault="000B5AB0" w:rsidP="00A571CA">
      <w:pPr>
        <w:widowControl w:val="0"/>
        <w:spacing w:after="0" w:line="480" w:lineRule="auto"/>
        <w:ind w:left="426" w:hanging="426"/>
        <w:contextualSpacing/>
        <w:rPr>
          <w:rFonts w:eastAsia="Times New Roman"/>
          <w:lang w:val="en-CA" w:eastAsia="fr-CA"/>
        </w:rPr>
      </w:pPr>
      <w:proofErr w:type="spellStart"/>
      <w:r w:rsidRPr="0071085D">
        <w:rPr>
          <w:rFonts w:eastAsia="Times New Roman"/>
          <w:lang w:val="en-CA" w:eastAsia="fr-CA"/>
        </w:rPr>
        <w:t>Vallières</w:t>
      </w:r>
      <w:proofErr w:type="spellEnd"/>
      <w:r w:rsidRPr="0071085D">
        <w:rPr>
          <w:rFonts w:eastAsia="Times New Roman"/>
          <w:lang w:val="en-CA" w:eastAsia="fr-CA"/>
        </w:rPr>
        <w:t>, E.</w:t>
      </w:r>
      <w:r w:rsidR="00105E7A" w:rsidRPr="0071085D">
        <w:rPr>
          <w:rFonts w:eastAsia="Times New Roman"/>
          <w:lang w:val="en-CA" w:eastAsia="fr-CA"/>
        </w:rPr>
        <w:t xml:space="preserve"> </w:t>
      </w:r>
      <w:r w:rsidR="00CF1082" w:rsidRPr="0071085D">
        <w:rPr>
          <w:rFonts w:eastAsia="Times New Roman"/>
          <w:lang w:val="en-CA" w:eastAsia="fr-CA"/>
        </w:rPr>
        <w:t>F. &amp; Vallerand, R.</w:t>
      </w:r>
      <w:r w:rsidR="00105E7A" w:rsidRPr="0071085D">
        <w:rPr>
          <w:rFonts w:eastAsia="Times New Roman"/>
          <w:lang w:val="en-CA" w:eastAsia="fr-CA"/>
        </w:rPr>
        <w:t xml:space="preserve"> </w:t>
      </w:r>
      <w:r w:rsidR="000E235A" w:rsidRPr="0071085D">
        <w:rPr>
          <w:rFonts w:eastAsia="Times New Roman"/>
          <w:lang w:val="en-CA" w:eastAsia="fr-CA"/>
        </w:rPr>
        <w:t>J. (</w:t>
      </w:r>
      <w:r w:rsidR="00CF1082" w:rsidRPr="0071085D">
        <w:rPr>
          <w:rFonts w:eastAsia="Times New Roman"/>
          <w:lang w:val="en-CA" w:eastAsia="fr-CA"/>
        </w:rPr>
        <w:t>1990</w:t>
      </w:r>
      <w:r w:rsidR="000E235A" w:rsidRPr="0071085D">
        <w:rPr>
          <w:rFonts w:eastAsia="Times New Roman"/>
          <w:lang w:val="en-CA" w:eastAsia="fr-CA"/>
        </w:rPr>
        <w:t xml:space="preserve">). </w:t>
      </w:r>
      <w:r w:rsidR="000E235A" w:rsidRPr="0071085D">
        <w:rPr>
          <w:rFonts w:eastAsia="Times New Roman"/>
          <w:lang w:eastAsia="fr-CA"/>
        </w:rPr>
        <w:t xml:space="preserve">Traduction et validation canadienne-française de l’échelle de l’estime de soi de Rosenberg. </w:t>
      </w:r>
      <w:r w:rsidR="000E235A" w:rsidRPr="0071085D">
        <w:rPr>
          <w:rFonts w:eastAsia="Times New Roman"/>
          <w:i/>
          <w:lang w:val="en-CA" w:eastAsia="fr-CA"/>
        </w:rPr>
        <w:t>International Journal of Psychology, 25</w:t>
      </w:r>
      <w:r w:rsidR="000E235A" w:rsidRPr="0071085D">
        <w:rPr>
          <w:rFonts w:eastAsia="Times New Roman"/>
          <w:lang w:val="en-CA" w:eastAsia="fr-CA"/>
        </w:rPr>
        <w:t>(2), 305-316.</w:t>
      </w:r>
    </w:p>
    <w:p w14:paraId="74DFB2DE" w14:textId="1FC6FFD9" w:rsidR="00CF2474" w:rsidRPr="0071085D" w:rsidRDefault="00CF2474" w:rsidP="00A571CA">
      <w:pPr>
        <w:widowControl w:val="0"/>
        <w:spacing w:after="0" w:line="480" w:lineRule="auto"/>
        <w:ind w:left="426" w:hanging="426"/>
        <w:contextualSpacing/>
        <w:rPr>
          <w:rFonts w:eastAsia="Times New Roman"/>
          <w:lang w:val="en-CA" w:eastAsia="fr-CA"/>
        </w:rPr>
      </w:pPr>
      <w:r w:rsidRPr="0071085D">
        <w:rPr>
          <w:lang w:val="en-US"/>
        </w:rPr>
        <w:t xml:space="preserve">Vasilenko, S. A., Kugler, K. C., Butera, N. M., &amp; Lanza, S. T. (2015). </w:t>
      </w:r>
      <w:r w:rsidRPr="0071085D">
        <w:rPr>
          <w:lang w:val="en-CA"/>
        </w:rPr>
        <w:t xml:space="preserve">Patterns of adolescent sexual behavior predicting young adult sexually transmitted infections: a latent class analysis approach. </w:t>
      </w:r>
      <w:r w:rsidRPr="0071085D">
        <w:rPr>
          <w:i/>
          <w:lang w:val="en-CA"/>
        </w:rPr>
        <w:t>Archives of Sexual Behavior, 44</w:t>
      </w:r>
      <w:r w:rsidRPr="0071085D">
        <w:rPr>
          <w:lang w:val="en-CA"/>
        </w:rPr>
        <w:t xml:space="preserve">(3), 705–715. </w:t>
      </w:r>
    </w:p>
    <w:p w14:paraId="54D7BBEF" w14:textId="7E75B9F6" w:rsidR="000E235A" w:rsidRPr="0071085D" w:rsidRDefault="000E235A" w:rsidP="00A571CA">
      <w:pPr>
        <w:widowControl w:val="0"/>
        <w:spacing w:after="0" w:line="480" w:lineRule="auto"/>
        <w:ind w:left="426" w:hanging="426"/>
        <w:contextualSpacing/>
        <w:rPr>
          <w:lang w:val="en-CA"/>
        </w:rPr>
      </w:pPr>
      <w:proofErr w:type="spellStart"/>
      <w:r w:rsidRPr="0071085D">
        <w:rPr>
          <w:lang w:val="en-CA"/>
        </w:rPr>
        <w:t>Vermunt</w:t>
      </w:r>
      <w:proofErr w:type="spellEnd"/>
      <w:r w:rsidRPr="0071085D">
        <w:rPr>
          <w:lang w:val="en-CA"/>
        </w:rPr>
        <w:t xml:space="preserve">, </w:t>
      </w:r>
      <w:r w:rsidR="002873D5" w:rsidRPr="0071085D">
        <w:rPr>
          <w:lang w:val="en-CA"/>
        </w:rPr>
        <w:t>J. K. (</w:t>
      </w:r>
      <w:r w:rsidRPr="0071085D">
        <w:rPr>
          <w:lang w:val="en-CA"/>
        </w:rPr>
        <w:t>2010</w:t>
      </w:r>
      <w:r w:rsidR="002873D5" w:rsidRPr="0071085D">
        <w:rPr>
          <w:lang w:val="en-CA"/>
        </w:rPr>
        <w:t xml:space="preserve">). Latent Class Modeling with Covariates: Two Improved Three-Step Approaches. </w:t>
      </w:r>
      <w:r w:rsidR="002873D5" w:rsidRPr="0071085D">
        <w:rPr>
          <w:i/>
          <w:lang w:val="en-CA"/>
        </w:rPr>
        <w:t>Political Analysis, 18</w:t>
      </w:r>
      <w:r w:rsidR="002873D5" w:rsidRPr="0071085D">
        <w:rPr>
          <w:lang w:val="en-CA"/>
        </w:rPr>
        <w:t>, 450–469.</w:t>
      </w:r>
    </w:p>
    <w:p w14:paraId="003F640B" w14:textId="40BCC4EC" w:rsidR="009855F2" w:rsidRPr="0071085D" w:rsidRDefault="009855F2" w:rsidP="00A571CA">
      <w:pPr>
        <w:widowControl w:val="0"/>
        <w:spacing w:after="0" w:line="480" w:lineRule="auto"/>
        <w:ind w:left="426" w:hanging="426"/>
        <w:contextualSpacing/>
        <w:rPr>
          <w:lang w:val="en-CA"/>
        </w:rPr>
      </w:pPr>
      <w:r w:rsidRPr="0071085D">
        <w:rPr>
          <w:lang w:val="en-CA"/>
        </w:rPr>
        <w:t xml:space="preserve">Wechsler, H., &amp; Nelson, T. F. (2008). What we have learned from the Harvard School of Public Health College Alcohol Study: Focusing attention on college student alcohol consumption and the environmental conditions that promote it. </w:t>
      </w:r>
      <w:r w:rsidRPr="0071085D">
        <w:rPr>
          <w:i/>
          <w:lang w:val="en-CA"/>
        </w:rPr>
        <w:t>Journal of Studies on alcohol and Drugs</w:t>
      </w:r>
      <w:r w:rsidRPr="0071085D">
        <w:rPr>
          <w:lang w:val="en-CA"/>
        </w:rPr>
        <w:t xml:space="preserve">, </w:t>
      </w:r>
      <w:r w:rsidRPr="0071085D">
        <w:rPr>
          <w:i/>
          <w:lang w:val="en-CA"/>
        </w:rPr>
        <w:t>69</w:t>
      </w:r>
      <w:r w:rsidRPr="0071085D">
        <w:rPr>
          <w:lang w:val="en-CA"/>
        </w:rPr>
        <w:t>(4), 481-490.</w:t>
      </w:r>
    </w:p>
    <w:p w14:paraId="5F55605B" w14:textId="7C6D304C" w:rsidR="00CF1082" w:rsidRPr="0071085D" w:rsidRDefault="00CF1082" w:rsidP="00A571CA">
      <w:pPr>
        <w:widowControl w:val="0"/>
        <w:spacing w:after="0" w:line="480" w:lineRule="auto"/>
        <w:ind w:left="426" w:hanging="426"/>
        <w:contextualSpacing/>
        <w:rPr>
          <w:lang w:val="en-CA"/>
        </w:rPr>
      </w:pPr>
      <w:r w:rsidRPr="0071085D">
        <w:rPr>
          <w:lang w:val="en-CA"/>
        </w:rPr>
        <w:t>White, H.</w:t>
      </w:r>
      <w:r w:rsidR="00E46834" w:rsidRPr="0071085D">
        <w:rPr>
          <w:lang w:val="en-CA"/>
        </w:rPr>
        <w:t xml:space="preserve"> </w:t>
      </w:r>
      <w:r w:rsidRPr="0071085D">
        <w:rPr>
          <w:lang w:val="en-CA"/>
        </w:rPr>
        <w:t xml:space="preserve">R. &amp; </w:t>
      </w:r>
      <w:proofErr w:type="spellStart"/>
      <w:r w:rsidRPr="0071085D">
        <w:rPr>
          <w:lang w:val="en-CA"/>
        </w:rPr>
        <w:t>Labouvie</w:t>
      </w:r>
      <w:proofErr w:type="spellEnd"/>
      <w:r w:rsidRPr="0071085D">
        <w:rPr>
          <w:lang w:val="en-CA"/>
        </w:rPr>
        <w:t>, E.</w:t>
      </w:r>
      <w:r w:rsidR="00E46834" w:rsidRPr="0071085D">
        <w:rPr>
          <w:lang w:val="en-CA"/>
        </w:rPr>
        <w:t xml:space="preserve"> </w:t>
      </w:r>
      <w:r w:rsidRPr="0071085D">
        <w:rPr>
          <w:lang w:val="en-CA"/>
        </w:rPr>
        <w:t xml:space="preserve">W. (1989). Toward the assessment of adolescent problem drinking. </w:t>
      </w:r>
      <w:r w:rsidRPr="0071085D">
        <w:rPr>
          <w:i/>
          <w:lang w:val="en-CA"/>
        </w:rPr>
        <w:t>Journal of Studies on Alcohol, 50</w:t>
      </w:r>
      <w:r w:rsidRPr="0071085D">
        <w:rPr>
          <w:lang w:val="en-CA"/>
        </w:rPr>
        <w:t>, 30–37.</w:t>
      </w:r>
    </w:p>
    <w:p w14:paraId="3E35048D" w14:textId="39B76514" w:rsidR="005C6A9B" w:rsidRPr="0071085D" w:rsidRDefault="0009693D" w:rsidP="00A571CA">
      <w:pPr>
        <w:widowControl w:val="0"/>
        <w:spacing w:after="0" w:line="480" w:lineRule="auto"/>
        <w:ind w:left="426" w:hanging="426"/>
        <w:contextualSpacing/>
        <w:rPr>
          <w:lang w:val="en-CA"/>
        </w:rPr>
      </w:pPr>
      <w:r w:rsidRPr="0071085D">
        <w:rPr>
          <w:lang w:val="en-CA"/>
        </w:rPr>
        <w:t xml:space="preserve">Zhao, Y., Kim, H., &amp; Peltzer, J. (2017). Relationships Among Substance Use, Multiple Sexual </w:t>
      </w:r>
      <w:r w:rsidRPr="0071085D">
        <w:rPr>
          <w:lang w:val="en-CA"/>
        </w:rPr>
        <w:lastRenderedPageBreak/>
        <w:t xml:space="preserve">Partners, and Condomless Sex: Differences Between Male and Female US High School Adolescents. </w:t>
      </w:r>
      <w:r w:rsidRPr="0071085D">
        <w:rPr>
          <w:i/>
          <w:lang w:val="en-CA"/>
        </w:rPr>
        <w:t>The Journal of School Nursing, 33</w:t>
      </w:r>
      <w:r w:rsidRPr="0071085D">
        <w:rPr>
          <w:lang w:val="en-CA"/>
        </w:rPr>
        <w:t xml:space="preserve">(2), 154-166. </w:t>
      </w:r>
    </w:p>
    <w:p w14:paraId="4BAD7E0A" w14:textId="77777777" w:rsidR="00D75661" w:rsidRPr="0071085D" w:rsidRDefault="00D75661" w:rsidP="00A571CA">
      <w:pPr>
        <w:widowControl w:val="0"/>
        <w:spacing w:after="0" w:line="480" w:lineRule="auto"/>
        <w:ind w:left="426" w:hanging="426"/>
        <w:contextualSpacing/>
        <w:rPr>
          <w:lang w:val="en-CA"/>
        </w:rPr>
      </w:pPr>
    </w:p>
    <w:p w14:paraId="53A38B80" w14:textId="346FC16D" w:rsidR="00BE58D8" w:rsidRPr="0071085D" w:rsidRDefault="00BE58D8" w:rsidP="00A571CA">
      <w:pPr>
        <w:widowControl w:val="0"/>
        <w:spacing w:after="0" w:line="480" w:lineRule="auto"/>
        <w:ind w:left="426" w:hanging="426"/>
        <w:contextualSpacing/>
        <w:rPr>
          <w:lang w:val="en-CA"/>
        </w:rPr>
      </w:pPr>
    </w:p>
    <w:p w14:paraId="7E3BB179" w14:textId="77777777" w:rsidR="00E56570" w:rsidRPr="0071085D" w:rsidRDefault="00E56570" w:rsidP="00DA20D4">
      <w:pPr>
        <w:widowControl w:val="0"/>
        <w:spacing w:after="0" w:line="480" w:lineRule="auto"/>
        <w:contextualSpacing/>
        <w:rPr>
          <w:i/>
          <w:sz w:val="20"/>
          <w:szCs w:val="20"/>
          <w:lang w:val="en-CA"/>
        </w:rPr>
        <w:sectPr w:rsidR="00E56570" w:rsidRPr="0071085D" w:rsidSect="00E474CD">
          <w:headerReference w:type="default" r:id="rId8"/>
          <w:headerReference w:type="first" r:id="rId9"/>
          <w:pgSz w:w="12240" w:h="15840"/>
          <w:pgMar w:top="1440" w:right="1440" w:bottom="1440" w:left="1440" w:header="709" w:footer="709" w:gutter="0"/>
          <w:cols w:space="708"/>
          <w:titlePg/>
          <w:docGrid w:linePitch="360"/>
        </w:sectPr>
      </w:pPr>
    </w:p>
    <w:tbl>
      <w:tblPr>
        <w:tblStyle w:val="Grilledutableau"/>
        <w:tblW w:w="10566" w:type="dxa"/>
        <w:tblInd w:w="-572" w:type="dxa"/>
        <w:tblLook w:val="04A0" w:firstRow="1" w:lastRow="0" w:firstColumn="1" w:lastColumn="0" w:noHBand="0" w:noVBand="1"/>
      </w:tblPr>
      <w:tblGrid>
        <w:gridCol w:w="3582"/>
        <w:gridCol w:w="1150"/>
        <w:gridCol w:w="734"/>
        <w:gridCol w:w="1289"/>
        <w:gridCol w:w="1039"/>
        <w:gridCol w:w="375"/>
        <w:gridCol w:w="1271"/>
        <w:gridCol w:w="1055"/>
        <w:gridCol w:w="71"/>
      </w:tblGrid>
      <w:tr w:rsidR="00B94AA0" w:rsidRPr="0071085D" w14:paraId="41588E6B" w14:textId="6966CBA7" w:rsidTr="00E56570">
        <w:trPr>
          <w:trHeight w:val="454"/>
        </w:trPr>
        <w:tc>
          <w:tcPr>
            <w:tcW w:w="10566" w:type="dxa"/>
            <w:gridSpan w:val="9"/>
            <w:tcBorders>
              <w:top w:val="nil"/>
              <w:left w:val="nil"/>
              <w:bottom w:val="nil"/>
              <w:right w:val="nil"/>
            </w:tcBorders>
          </w:tcPr>
          <w:p w14:paraId="279FA7E7" w14:textId="385A60AD" w:rsidR="00B94AA0" w:rsidRPr="0071085D" w:rsidRDefault="00B94AA0" w:rsidP="00601620">
            <w:pPr>
              <w:widowControl w:val="0"/>
              <w:spacing w:line="480" w:lineRule="auto"/>
              <w:contextualSpacing/>
              <w:rPr>
                <w:i/>
                <w:sz w:val="20"/>
                <w:szCs w:val="20"/>
                <w:lang w:val="en-CA"/>
              </w:rPr>
            </w:pPr>
            <w:r w:rsidRPr="0071085D">
              <w:rPr>
                <w:i/>
                <w:sz w:val="20"/>
                <w:szCs w:val="20"/>
                <w:lang w:val="en-CA"/>
              </w:rPr>
              <w:lastRenderedPageBreak/>
              <w:t>Table 1</w:t>
            </w:r>
          </w:p>
        </w:tc>
      </w:tr>
      <w:tr w:rsidR="00B94AA0" w:rsidRPr="0071085D" w14:paraId="71D2CB69" w14:textId="32F9016A" w:rsidTr="00E56570">
        <w:trPr>
          <w:trHeight w:val="474"/>
        </w:trPr>
        <w:tc>
          <w:tcPr>
            <w:tcW w:w="10566" w:type="dxa"/>
            <w:gridSpan w:val="9"/>
            <w:tcBorders>
              <w:top w:val="nil"/>
              <w:left w:val="nil"/>
              <w:bottom w:val="single" w:sz="4" w:space="0" w:color="auto"/>
              <w:right w:val="nil"/>
            </w:tcBorders>
          </w:tcPr>
          <w:p w14:paraId="15B817B4" w14:textId="4B39D6F7" w:rsidR="00B94AA0" w:rsidRPr="0071085D" w:rsidRDefault="00BE58D8" w:rsidP="00601620">
            <w:pPr>
              <w:widowControl w:val="0"/>
              <w:spacing w:line="480" w:lineRule="auto"/>
              <w:contextualSpacing/>
              <w:rPr>
                <w:i/>
                <w:sz w:val="20"/>
                <w:szCs w:val="20"/>
                <w:lang w:val="en-CA"/>
              </w:rPr>
            </w:pPr>
            <w:r w:rsidRPr="0071085D">
              <w:rPr>
                <w:i/>
                <w:sz w:val="20"/>
                <w:szCs w:val="20"/>
                <w:lang w:val="en-CA"/>
              </w:rPr>
              <w:t xml:space="preserve">Means, Standard Deviations, Standard Errors and </w:t>
            </w:r>
            <w:r w:rsidR="00A9595F" w:rsidRPr="0071085D">
              <w:rPr>
                <w:i/>
                <w:sz w:val="20"/>
                <w:szCs w:val="20"/>
                <w:lang w:val="en-CA"/>
              </w:rPr>
              <w:t>P</w:t>
            </w:r>
            <w:r w:rsidR="00B94AA0" w:rsidRPr="0071085D">
              <w:rPr>
                <w:i/>
                <w:sz w:val="20"/>
                <w:szCs w:val="20"/>
                <w:lang w:val="en-CA"/>
              </w:rPr>
              <w:t>roportion</w:t>
            </w:r>
            <w:r w:rsidR="00A9595F" w:rsidRPr="0071085D">
              <w:rPr>
                <w:i/>
                <w:sz w:val="20"/>
                <w:szCs w:val="20"/>
                <w:lang w:val="en-CA"/>
              </w:rPr>
              <w:t>s</w:t>
            </w:r>
            <w:r w:rsidR="00B94AA0" w:rsidRPr="0071085D">
              <w:rPr>
                <w:i/>
                <w:sz w:val="20"/>
                <w:szCs w:val="20"/>
                <w:lang w:val="en-CA"/>
              </w:rPr>
              <w:t xml:space="preserve"> for </w:t>
            </w:r>
            <w:r w:rsidR="00BE643D" w:rsidRPr="0071085D">
              <w:rPr>
                <w:i/>
                <w:sz w:val="20"/>
                <w:szCs w:val="20"/>
                <w:lang w:val="en-CA"/>
              </w:rPr>
              <w:t xml:space="preserve">Correlates </w:t>
            </w:r>
            <w:r w:rsidR="00A9595F" w:rsidRPr="0071085D">
              <w:rPr>
                <w:i/>
                <w:sz w:val="20"/>
                <w:szCs w:val="20"/>
                <w:lang w:val="en-CA"/>
              </w:rPr>
              <w:t xml:space="preserve">of </w:t>
            </w:r>
            <w:r w:rsidR="0090573F" w:rsidRPr="0071085D">
              <w:rPr>
                <w:i/>
                <w:sz w:val="20"/>
                <w:szCs w:val="20"/>
                <w:lang w:val="en-CA"/>
              </w:rPr>
              <w:t xml:space="preserve">Risk-Taking </w:t>
            </w:r>
            <w:r w:rsidR="00A9595F" w:rsidRPr="0071085D">
              <w:rPr>
                <w:i/>
                <w:sz w:val="20"/>
                <w:szCs w:val="20"/>
                <w:lang w:val="en-CA"/>
              </w:rPr>
              <w:t>B</w:t>
            </w:r>
            <w:r w:rsidR="00B94AA0" w:rsidRPr="0071085D">
              <w:rPr>
                <w:i/>
                <w:sz w:val="20"/>
                <w:szCs w:val="20"/>
                <w:lang w:val="en-CA"/>
              </w:rPr>
              <w:t xml:space="preserve">ehaviors by </w:t>
            </w:r>
            <w:r w:rsidR="00A9595F" w:rsidRPr="0071085D">
              <w:rPr>
                <w:i/>
                <w:sz w:val="20"/>
                <w:szCs w:val="20"/>
                <w:lang w:val="en-CA"/>
              </w:rPr>
              <w:t>Risk-Taking Latent C</w:t>
            </w:r>
            <w:r w:rsidR="00B94AA0" w:rsidRPr="0071085D">
              <w:rPr>
                <w:i/>
                <w:sz w:val="20"/>
                <w:szCs w:val="20"/>
                <w:lang w:val="en-CA"/>
              </w:rPr>
              <w:t>lasses</w:t>
            </w:r>
          </w:p>
        </w:tc>
      </w:tr>
      <w:tr w:rsidR="003F0C9B" w:rsidRPr="0071085D" w14:paraId="42785F73" w14:textId="5271FFD9" w:rsidTr="00BE7EF5">
        <w:trPr>
          <w:gridAfter w:val="1"/>
          <w:wAfter w:w="71" w:type="dxa"/>
          <w:trHeight w:val="1381"/>
        </w:trPr>
        <w:tc>
          <w:tcPr>
            <w:tcW w:w="3582" w:type="dxa"/>
            <w:tcBorders>
              <w:left w:val="nil"/>
              <w:bottom w:val="single" w:sz="4" w:space="0" w:color="auto"/>
              <w:right w:val="nil"/>
            </w:tcBorders>
          </w:tcPr>
          <w:p w14:paraId="3ED28084" w14:textId="34EB0009" w:rsidR="003F0C9B" w:rsidRPr="0071085D" w:rsidRDefault="003F0C9B" w:rsidP="00601620">
            <w:pPr>
              <w:widowControl w:val="0"/>
              <w:spacing w:line="480" w:lineRule="auto"/>
              <w:rPr>
                <w:sz w:val="20"/>
                <w:szCs w:val="20"/>
                <w:lang w:val="en-CA"/>
              </w:rPr>
            </w:pPr>
            <w:r w:rsidRPr="0071085D">
              <w:rPr>
                <w:sz w:val="20"/>
                <w:szCs w:val="20"/>
                <w:lang w:val="en-CA"/>
              </w:rPr>
              <w:t>Variable</w:t>
            </w:r>
          </w:p>
        </w:tc>
        <w:tc>
          <w:tcPr>
            <w:tcW w:w="1150" w:type="dxa"/>
            <w:tcBorders>
              <w:left w:val="nil"/>
              <w:bottom w:val="single" w:sz="4" w:space="0" w:color="auto"/>
              <w:right w:val="nil"/>
            </w:tcBorders>
          </w:tcPr>
          <w:p w14:paraId="236BC89B" w14:textId="77777777" w:rsidR="003F0C9B" w:rsidRPr="0071085D" w:rsidRDefault="003F0C9B" w:rsidP="00601620">
            <w:pPr>
              <w:widowControl w:val="0"/>
              <w:spacing w:line="480" w:lineRule="auto"/>
              <w:rPr>
                <w:sz w:val="20"/>
                <w:szCs w:val="20"/>
                <w:lang w:val="en-CA"/>
              </w:rPr>
            </w:pPr>
            <w:r w:rsidRPr="0071085D">
              <w:rPr>
                <w:sz w:val="20"/>
                <w:szCs w:val="20"/>
                <w:lang w:val="en-CA"/>
              </w:rPr>
              <w:t>All participants</w:t>
            </w:r>
          </w:p>
          <w:p w14:paraId="2C992E15" w14:textId="78FBB2B4" w:rsidR="003F0C9B" w:rsidRPr="0071085D" w:rsidRDefault="003F0C9B" w:rsidP="00601620">
            <w:pPr>
              <w:widowControl w:val="0"/>
              <w:spacing w:line="480" w:lineRule="auto"/>
              <w:rPr>
                <w:sz w:val="20"/>
                <w:szCs w:val="20"/>
                <w:lang w:val="en-CA"/>
              </w:rPr>
            </w:pPr>
            <w:r w:rsidRPr="0071085D">
              <w:rPr>
                <w:sz w:val="20"/>
                <w:szCs w:val="20"/>
                <w:lang w:val="en-CA"/>
              </w:rPr>
              <w:t>(N = 602)</w:t>
            </w:r>
          </w:p>
        </w:tc>
        <w:tc>
          <w:tcPr>
            <w:tcW w:w="734" w:type="dxa"/>
            <w:tcBorders>
              <w:left w:val="nil"/>
              <w:bottom w:val="single" w:sz="4" w:space="0" w:color="auto"/>
              <w:right w:val="nil"/>
            </w:tcBorders>
          </w:tcPr>
          <w:p w14:paraId="0B89A536" w14:textId="77777777" w:rsidR="003F0C9B" w:rsidRPr="0071085D" w:rsidRDefault="003F0C9B" w:rsidP="00601620">
            <w:pPr>
              <w:widowControl w:val="0"/>
              <w:spacing w:line="480" w:lineRule="auto"/>
              <w:rPr>
                <w:sz w:val="20"/>
                <w:szCs w:val="20"/>
                <w:lang w:val="en-CA"/>
              </w:rPr>
            </w:pPr>
          </w:p>
        </w:tc>
        <w:tc>
          <w:tcPr>
            <w:tcW w:w="1289" w:type="dxa"/>
            <w:tcBorders>
              <w:left w:val="nil"/>
              <w:bottom w:val="single" w:sz="4" w:space="0" w:color="auto"/>
              <w:right w:val="nil"/>
            </w:tcBorders>
          </w:tcPr>
          <w:p w14:paraId="0861C612" w14:textId="77777777" w:rsidR="003F0C9B" w:rsidRPr="0071085D" w:rsidRDefault="003F0C9B" w:rsidP="00601620">
            <w:pPr>
              <w:widowControl w:val="0"/>
              <w:spacing w:line="480" w:lineRule="auto"/>
              <w:rPr>
                <w:sz w:val="20"/>
                <w:szCs w:val="20"/>
                <w:lang w:val="en-CA"/>
              </w:rPr>
            </w:pPr>
            <w:r w:rsidRPr="0071085D">
              <w:rPr>
                <w:sz w:val="20"/>
                <w:szCs w:val="20"/>
                <w:lang w:val="en-CA"/>
              </w:rPr>
              <w:t>Inactive low</w:t>
            </w:r>
          </w:p>
          <w:p w14:paraId="52C5DDD1" w14:textId="7FF93718" w:rsidR="003F0C9B" w:rsidRPr="0071085D" w:rsidRDefault="003F0C9B" w:rsidP="00601620">
            <w:pPr>
              <w:widowControl w:val="0"/>
              <w:spacing w:line="480" w:lineRule="auto"/>
              <w:rPr>
                <w:sz w:val="20"/>
                <w:szCs w:val="20"/>
                <w:lang w:val="en-CA"/>
              </w:rPr>
            </w:pPr>
            <w:r w:rsidRPr="0071085D">
              <w:rPr>
                <w:sz w:val="20"/>
                <w:szCs w:val="20"/>
                <w:lang w:val="en-CA"/>
              </w:rPr>
              <w:t>(</w:t>
            </w:r>
            <w:r w:rsidR="009C78F6" w:rsidRPr="0071085D">
              <w:rPr>
                <w:color w:val="000000"/>
                <w:sz w:val="20"/>
                <w:szCs w:val="20"/>
                <w:lang w:val="en-CA"/>
              </w:rPr>
              <w:t>n = 81; 1</w:t>
            </w:r>
            <w:r w:rsidRPr="0071085D">
              <w:rPr>
                <w:sz w:val="20"/>
                <w:szCs w:val="20"/>
                <w:lang w:val="en-CA"/>
              </w:rPr>
              <w:t>3.5%)</w:t>
            </w:r>
          </w:p>
        </w:tc>
        <w:tc>
          <w:tcPr>
            <w:tcW w:w="1414" w:type="dxa"/>
            <w:gridSpan w:val="2"/>
            <w:tcBorders>
              <w:left w:val="nil"/>
              <w:bottom w:val="single" w:sz="4" w:space="0" w:color="auto"/>
              <w:right w:val="nil"/>
            </w:tcBorders>
          </w:tcPr>
          <w:p w14:paraId="6C3045CA" w14:textId="77777777" w:rsidR="003F0C9B" w:rsidRPr="0071085D" w:rsidRDefault="003F0C9B" w:rsidP="00601620">
            <w:pPr>
              <w:widowControl w:val="0"/>
              <w:spacing w:line="480" w:lineRule="auto"/>
              <w:rPr>
                <w:sz w:val="20"/>
                <w:szCs w:val="20"/>
                <w:lang w:val="en-CA"/>
              </w:rPr>
            </w:pPr>
            <w:r w:rsidRPr="0071085D">
              <w:rPr>
                <w:sz w:val="20"/>
                <w:szCs w:val="20"/>
                <w:lang w:val="en-CA"/>
              </w:rPr>
              <w:t>Active low</w:t>
            </w:r>
          </w:p>
          <w:p w14:paraId="006E2E99" w14:textId="5224ED59" w:rsidR="003F0C9B" w:rsidRPr="0071085D" w:rsidRDefault="003F0C9B" w:rsidP="00601620">
            <w:pPr>
              <w:widowControl w:val="0"/>
              <w:spacing w:line="480" w:lineRule="auto"/>
              <w:rPr>
                <w:sz w:val="20"/>
                <w:szCs w:val="20"/>
                <w:lang w:val="en-CA"/>
              </w:rPr>
            </w:pPr>
            <w:r w:rsidRPr="0071085D">
              <w:rPr>
                <w:sz w:val="20"/>
                <w:szCs w:val="20"/>
                <w:lang w:val="en-CA"/>
              </w:rPr>
              <w:t>(</w:t>
            </w:r>
            <w:r w:rsidR="009C78F6" w:rsidRPr="0071085D">
              <w:rPr>
                <w:color w:val="000000"/>
                <w:sz w:val="20"/>
                <w:szCs w:val="20"/>
                <w:lang w:val="en-CA"/>
              </w:rPr>
              <w:t xml:space="preserve">n = 209; </w:t>
            </w:r>
            <w:r w:rsidRPr="0071085D">
              <w:rPr>
                <w:sz w:val="20"/>
                <w:szCs w:val="20"/>
                <w:lang w:val="en-CA"/>
              </w:rPr>
              <w:t>34.7%)</w:t>
            </w:r>
          </w:p>
        </w:tc>
        <w:tc>
          <w:tcPr>
            <w:tcW w:w="1271" w:type="dxa"/>
            <w:tcBorders>
              <w:left w:val="nil"/>
              <w:bottom w:val="single" w:sz="4" w:space="0" w:color="auto"/>
              <w:right w:val="nil"/>
            </w:tcBorders>
          </w:tcPr>
          <w:p w14:paraId="50ED00DD" w14:textId="77777777" w:rsidR="003F0C9B" w:rsidRPr="0071085D" w:rsidRDefault="003F0C9B" w:rsidP="00601620">
            <w:pPr>
              <w:widowControl w:val="0"/>
              <w:spacing w:line="480" w:lineRule="auto"/>
              <w:rPr>
                <w:sz w:val="20"/>
                <w:szCs w:val="20"/>
                <w:lang w:val="en-CA"/>
              </w:rPr>
            </w:pPr>
            <w:r w:rsidRPr="0071085D">
              <w:rPr>
                <w:sz w:val="20"/>
                <w:szCs w:val="20"/>
                <w:lang w:val="en-CA"/>
              </w:rPr>
              <w:t>Mid-risk</w:t>
            </w:r>
          </w:p>
          <w:p w14:paraId="1DFE5E67" w14:textId="671DC95A" w:rsidR="003F0C9B" w:rsidRPr="0071085D" w:rsidRDefault="003F0C9B" w:rsidP="00601620">
            <w:pPr>
              <w:widowControl w:val="0"/>
              <w:spacing w:line="480" w:lineRule="auto"/>
              <w:rPr>
                <w:sz w:val="20"/>
                <w:szCs w:val="20"/>
                <w:lang w:val="en-CA"/>
              </w:rPr>
            </w:pPr>
            <w:r w:rsidRPr="0071085D">
              <w:rPr>
                <w:sz w:val="20"/>
                <w:szCs w:val="20"/>
                <w:lang w:val="en-CA"/>
              </w:rPr>
              <w:t>(</w:t>
            </w:r>
            <w:r w:rsidR="009C78F6" w:rsidRPr="0071085D">
              <w:rPr>
                <w:color w:val="000000"/>
                <w:sz w:val="20"/>
                <w:szCs w:val="20"/>
                <w:lang w:val="en-CA"/>
              </w:rPr>
              <w:t xml:space="preserve">n = 255; </w:t>
            </w:r>
            <w:r w:rsidRPr="0071085D">
              <w:rPr>
                <w:sz w:val="20"/>
                <w:szCs w:val="20"/>
                <w:lang w:val="en-CA"/>
              </w:rPr>
              <w:t>42.4%)</w:t>
            </w:r>
          </w:p>
        </w:tc>
        <w:tc>
          <w:tcPr>
            <w:tcW w:w="1055" w:type="dxa"/>
            <w:tcBorders>
              <w:left w:val="nil"/>
              <w:bottom w:val="single" w:sz="4" w:space="0" w:color="auto"/>
              <w:right w:val="nil"/>
            </w:tcBorders>
          </w:tcPr>
          <w:p w14:paraId="4CF67B48" w14:textId="77777777" w:rsidR="003F0C9B" w:rsidRPr="0071085D" w:rsidRDefault="003F0C9B" w:rsidP="00601620">
            <w:pPr>
              <w:widowControl w:val="0"/>
              <w:spacing w:line="480" w:lineRule="auto"/>
              <w:rPr>
                <w:sz w:val="20"/>
                <w:szCs w:val="20"/>
                <w:lang w:val="en-CA"/>
              </w:rPr>
            </w:pPr>
            <w:r w:rsidRPr="0071085D">
              <w:rPr>
                <w:sz w:val="20"/>
                <w:szCs w:val="20"/>
                <w:lang w:val="en-CA"/>
              </w:rPr>
              <w:t>High-risk</w:t>
            </w:r>
          </w:p>
          <w:p w14:paraId="7A710F28" w14:textId="35D855CB" w:rsidR="003F0C9B" w:rsidRPr="0071085D" w:rsidRDefault="003F0C9B" w:rsidP="00601620">
            <w:pPr>
              <w:widowControl w:val="0"/>
              <w:spacing w:line="480" w:lineRule="auto"/>
              <w:rPr>
                <w:sz w:val="20"/>
                <w:szCs w:val="20"/>
                <w:lang w:val="en-CA"/>
              </w:rPr>
            </w:pPr>
            <w:r w:rsidRPr="0071085D">
              <w:rPr>
                <w:sz w:val="20"/>
                <w:szCs w:val="20"/>
                <w:lang w:val="en-CA"/>
              </w:rPr>
              <w:t>(</w:t>
            </w:r>
            <w:r w:rsidR="009C78F6" w:rsidRPr="0071085D">
              <w:rPr>
                <w:color w:val="000000"/>
                <w:sz w:val="20"/>
                <w:szCs w:val="20"/>
                <w:lang w:val="en-CA"/>
              </w:rPr>
              <w:t xml:space="preserve">n = 57; </w:t>
            </w:r>
            <w:r w:rsidRPr="0071085D">
              <w:rPr>
                <w:sz w:val="20"/>
                <w:szCs w:val="20"/>
                <w:lang w:val="en-CA"/>
              </w:rPr>
              <w:t>9.5%)</w:t>
            </w:r>
          </w:p>
        </w:tc>
      </w:tr>
      <w:tr w:rsidR="003F0C9B" w:rsidRPr="0071085D" w14:paraId="0363F006" w14:textId="5E5F5DE0" w:rsidTr="00BE7EF5">
        <w:trPr>
          <w:gridAfter w:val="1"/>
          <w:wAfter w:w="71" w:type="dxa"/>
          <w:trHeight w:val="474"/>
        </w:trPr>
        <w:tc>
          <w:tcPr>
            <w:tcW w:w="3582" w:type="dxa"/>
            <w:tcBorders>
              <w:top w:val="nil"/>
              <w:left w:val="nil"/>
              <w:bottom w:val="single" w:sz="4" w:space="0" w:color="auto"/>
              <w:right w:val="nil"/>
            </w:tcBorders>
          </w:tcPr>
          <w:p w14:paraId="1EF28F71" w14:textId="59D47238" w:rsidR="003F0C9B" w:rsidRPr="0071085D" w:rsidRDefault="003F0C9B" w:rsidP="00601620">
            <w:pPr>
              <w:widowControl w:val="0"/>
              <w:spacing w:line="480" w:lineRule="auto"/>
              <w:rPr>
                <w:sz w:val="20"/>
                <w:szCs w:val="20"/>
                <w:lang w:val="en-CA"/>
              </w:rPr>
            </w:pPr>
            <w:r w:rsidRPr="0071085D">
              <w:rPr>
                <w:i/>
                <w:sz w:val="20"/>
                <w:szCs w:val="20"/>
                <w:lang w:val="en-CA"/>
              </w:rPr>
              <w:t xml:space="preserve">Sociodemographic </w:t>
            </w:r>
          </w:p>
        </w:tc>
        <w:tc>
          <w:tcPr>
            <w:tcW w:w="1884" w:type="dxa"/>
            <w:gridSpan w:val="2"/>
            <w:tcBorders>
              <w:top w:val="single" w:sz="4" w:space="0" w:color="auto"/>
              <w:left w:val="nil"/>
              <w:bottom w:val="single" w:sz="4" w:space="0" w:color="auto"/>
              <w:right w:val="nil"/>
            </w:tcBorders>
          </w:tcPr>
          <w:p w14:paraId="6C2CCB41" w14:textId="7C47837A" w:rsidR="003F0C9B" w:rsidRPr="0071085D" w:rsidRDefault="003F0C9B" w:rsidP="00601620">
            <w:pPr>
              <w:widowControl w:val="0"/>
              <w:spacing w:line="480" w:lineRule="auto"/>
              <w:rPr>
                <w:sz w:val="20"/>
                <w:szCs w:val="20"/>
                <w:lang w:val="en-CA"/>
              </w:rPr>
            </w:pPr>
            <w:r w:rsidRPr="0071085D">
              <w:rPr>
                <w:sz w:val="20"/>
                <w:szCs w:val="20"/>
                <w:lang w:val="en-CA"/>
              </w:rPr>
              <w:t>% / Mean (S. D.)</w:t>
            </w:r>
          </w:p>
        </w:tc>
        <w:tc>
          <w:tcPr>
            <w:tcW w:w="5029" w:type="dxa"/>
            <w:gridSpan w:val="5"/>
            <w:tcBorders>
              <w:top w:val="nil"/>
              <w:left w:val="nil"/>
              <w:bottom w:val="single" w:sz="4" w:space="0" w:color="auto"/>
              <w:right w:val="nil"/>
            </w:tcBorders>
          </w:tcPr>
          <w:p w14:paraId="0BA14D65" w14:textId="4B23517C" w:rsidR="003F0C9B" w:rsidRPr="0071085D" w:rsidRDefault="003F0C9B" w:rsidP="00601620">
            <w:pPr>
              <w:widowControl w:val="0"/>
              <w:spacing w:line="480" w:lineRule="auto"/>
              <w:jc w:val="center"/>
              <w:rPr>
                <w:sz w:val="20"/>
                <w:szCs w:val="20"/>
                <w:lang w:val="en-CA"/>
              </w:rPr>
            </w:pPr>
            <w:r w:rsidRPr="0071085D">
              <w:rPr>
                <w:sz w:val="20"/>
                <w:szCs w:val="20"/>
                <w:lang w:val="en-CA"/>
              </w:rPr>
              <w:t>% / Mean (S. E.)</w:t>
            </w:r>
          </w:p>
        </w:tc>
      </w:tr>
      <w:tr w:rsidR="000D1283" w:rsidRPr="0071085D" w14:paraId="4CAB8FBC" w14:textId="4622C833" w:rsidTr="00BE7EF5">
        <w:trPr>
          <w:gridAfter w:val="1"/>
          <w:wAfter w:w="71" w:type="dxa"/>
          <w:trHeight w:val="474"/>
        </w:trPr>
        <w:tc>
          <w:tcPr>
            <w:tcW w:w="3582" w:type="dxa"/>
            <w:tcBorders>
              <w:left w:val="nil"/>
              <w:bottom w:val="nil"/>
              <w:right w:val="nil"/>
            </w:tcBorders>
          </w:tcPr>
          <w:p w14:paraId="2BFBC490" w14:textId="35819175" w:rsidR="000D1283" w:rsidRPr="0071085D" w:rsidRDefault="000D1283" w:rsidP="00601620">
            <w:pPr>
              <w:widowControl w:val="0"/>
              <w:spacing w:line="480" w:lineRule="auto"/>
              <w:rPr>
                <w:sz w:val="20"/>
                <w:szCs w:val="20"/>
                <w:lang w:val="en-CA"/>
              </w:rPr>
            </w:pPr>
            <w:r w:rsidRPr="0071085D">
              <w:rPr>
                <w:sz w:val="20"/>
                <w:szCs w:val="20"/>
                <w:lang w:val="en-CA"/>
              </w:rPr>
              <w:t>Age [18-29]</w:t>
            </w:r>
          </w:p>
        </w:tc>
        <w:tc>
          <w:tcPr>
            <w:tcW w:w="1884" w:type="dxa"/>
            <w:gridSpan w:val="2"/>
            <w:tcBorders>
              <w:left w:val="nil"/>
              <w:bottom w:val="nil"/>
              <w:right w:val="nil"/>
            </w:tcBorders>
          </w:tcPr>
          <w:p w14:paraId="340AC937" w14:textId="46B5F964" w:rsidR="000D1283" w:rsidRPr="0071085D" w:rsidRDefault="000D1283" w:rsidP="00601620">
            <w:pPr>
              <w:widowControl w:val="0"/>
              <w:spacing w:line="480" w:lineRule="auto"/>
              <w:rPr>
                <w:sz w:val="20"/>
                <w:szCs w:val="20"/>
                <w:lang w:val="en-CA"/>
              </w:rPr>
            </w:pPr>
            <w:r w:rsidRPr="0071085D">
              <w:rPr>
                <w:sz w:val="20"/>
                <w:szCs w:val="20"/>
                <w:lang w:val="en-CA"/>
              </w:rPr>
              <w:t>22.33 (2.14)</w:t>
            </w:r>
          </w:p>
        </w:tc>
        <w:tc>
          <w:tcPr>
            <w:tcW w:w="1289" w:type="dxa"/>
            <w:tcBorders>
              <w:left w:val="nil"/>
              <w:bottom w:val="nil"/>
              <w:right w:val="nil"/>
            </w:tcBorders>
          </w:tcPr>
          <w:p w14:paraId="5D5033A2" w14:textId="2221027D" w:rsidR="000D1283" w:rsidRPr="0071085D" w:rsidRDefault="006F2010" w:rsidP="00601620">
            <w:pPr>
              <w:widowControl w:val="0"/>
              <w:spacing w:line="480" w:lineRule="auto"/>
              <w:rPr>
                <w:sz w:val="20"/>
                <w:szCs w:val="20"/>
                <w:lang w:val="en-CA"/>
              </w:rPr>
            </w:pPr>
            <w:r w:rsidRPr="0071085D">
              <w:rPr>
                <w:sz w:val="20"/>
                <w:szCs w:val="20"/>
                <w:lang w:val="en-CA"/>
              </w:rPr>
              <w:t>21.32</w:t>
            </w:r>
            <w:r w:rsidR="000D1150" w:rsidRPr="0071085D">
              <w:rPr>
                <w:sz w:val="20"/>
                <w:szCs w:val="20"/>
                <w:lang w:val="en-CA"/>
              </w:rPr>
              <w:t xml:space="preserve"> (.27)</w:t>
            </w:r>
          </w:p>
        </w:tc>
        <w:tc>
          <w:tcPr>
            <w:tcW w:w="1414" w:type="dxa"/>
            <w:gridSpan w:val="2"/>
            <w:tcBorders>
              <w:left w:val="nil"/>
              <w:bottom w:val="nil"/>
              <w:right w:val="nil"/>
            </w:tcBorders>
          </w:tcPr>
          <w:p w14:paraId="01537F5B" w14:textId="67693300" w:rsidR="000D1283" w:rsidRPr="0071085D" w:rsidRDefault="006F2010" w:rsidP="00601620">
            <w:pPr>
              <w:widowControl w:val="0"/>
              <w:spacing w:line="480" w:lineRule="auto"/>
              <w:rPr>
                <w:sz w:val="20"/>
                <w:szCs w:val="20"/>
                <w:lang w:val="en-CA"/>
              </w:rPr>
            </w:pPr>
            <w:r w:rsidRPr="0071085D">
              <w:rPr>
                <w:sz w:val="20"/>
                <w:szCs w:val="20"/>
                <w:lang w:val="en-CA"/>
              </w:rPr>
              <w:t>21.70</w:t>
            </w:r>
            <w:r w:rsidR="000D1150" w:rsidRPr="0071085D">
              <w:rPr>
                <w:sz w:val="20"/>
                <w:szCs w:val="20"/>
                <w:lang w:val="en-CA"/>
              </w:rPr>
              <w:t xml:space="preserve"> (.16)</w:t>
            </w:r>
          </w:p>
        </w:tc>
        <w:tc>
          <w:tcPr>
            <w:tcW w:w="1271" w:type="dxa"/>
            <w:tcBorders>
              <w:left w:val="nil"/>
              <w:bottom w:val="nil"/>
              <w:right w:val="nil"/>
            </w:tcBorders>
          </w:tcPr>
          <w:p w14:paraId="7B4978C8" w14:textId="49D66CAD" w:rsidR="000D1283" w:rsidRPr="0071085D" w:rsidRDefault="005E7827" w:rsidP="00601620">
            <w:pPr>
              <w:widowControl w:val="0"/>
              <w:spacing w:line="480" w:lineRule="auto"/>
              <w:rPr>
                <w:sz w:val="20"/>
                <w:szCs w:val="20"/>
                <w:lang w:val="en-CA"/>
              </w:rPr>
            </w:pPr>
            <w:r w:rsidRPr="0071085D">
              <w:rPr>
                <w:sz w:val="20"/>
                <w:szCs w:val="20"/>
                <w:lang w:val="en-CA"/>
              </w:rPr>
              <w:t>22.87</w:t>
            </w:r>
            <w:r w:rsidR="000D1150" w:rsidRPr="0071085D">
              <w:rPr>
                <w:sz w:val="20"/>
                <w:szCs w:val="20"/>
                <w:lang w:val="en-CA"/>
              </w:rPr>
              <w:t xml:space="preserve"> (.13)</w:t>
            </w:r>
          </w:p>
        </w:tc>
        <w:tc>
          <w:tcPr>
            <w:tcW w:w="1055" w:type="dxa"/>
            <w:tcBorders>
              <w:left w:val="nil"/>
              <w:bottom w:val="nil"/>
              <w:right w:val="nil"/>
            </w:tcBorders>
          </w:tcPr>
          <w:p w14:paraId="3F672252" w14:textId="42141558" w:rsidR="000D1283" w:rsidRPr="0071085D" w:rsidRDefault="005E7827" w:rsidP="00601620">
            <w:pPr>
              <w:widowControl w:val="0"/>
              <w:spacing w:line="480" w:lineRule="auto"/>
              <w:rPr>
                <w:sz w:val="20"/>
                <w:szCs w:val="20"/>
                <w:lang w:val="en-CA"/>
              </w:rPr>
            </w:pPr>
            <w:r w:rsidRPr="0071085D">
              <w:rPr>
                <w:sz w:val="20"/>
                <w:szCs w:val="20"/>
                <w:lang w:val="en-CA"/>
              </w:rPr>
              <w:t>23.62</w:t>
            </w:r>
            <w:r w:rsidR="000D1150" w:rsidRPr="0071085D">
              <w:rPr>
                <w:sz w:val="20"/>
                <w:szCs w:val="20"/>
                <w:lang w:val="en-CA"/>
              </w:rPr>
              <w:t xml:space="preserve"> (.21)</w:t>
            </w:r>
          </w:p>
        </w:tc>
      </w:tr>
      <w:tr w:rsidR="000D1283" w:rsidRPr="0071085D" w14:paraId="4C713B1A" w14:textId="729C7CCD" w:rsidTr="00BE7EF5">
        <w:trPr>
          <w:gridAfter w:val="1"/>
          <w:wAfter w:w="71" w:type="dxa"/>
          <w:trHeight w:val="454"/>
        </w:trPr>
        <w:tc>
          <w:tcPr>
            <w:tcW w:w="3582" w:type="dxa"/>
            <w:tcBorders>
              <w:top w:val="nil"/>
              <w:left w:val="nil"/>
              <w:bottom w:val="nil"/>
              <w:right w:val="nil"/>
            </w:tcBorders>
          </w:tcPr>
          <w:p w14:paraId="6CB60712" w14:textId="1F7F12CB" w:rsidR="000D1283" w:rsidRPr="0071085D" w:rsidRDefault="000D1283" w:rsidP="00601620">
            <w:pPr>
              <w:widowControl w:val="0"/>
              <w:spacing w:line="480" w:lineRule="auto"/>
              <w:rPr>
                <w:sz w:val="20"/>
                <w:szCs w:val="20"/>
                <w:lang w:val="en-CA"/>
              </w:rPr>
            </w:pPr>
            <w:r w:rsidRPr="0071085D">
              <w:rPr>
                <w:sz w:val="20"/>
                <w:szCs w:val="20"/>
                <w:lang w:val="en-CA"/>
              </w:rPr>
              <w:t xml:space="preserve">Sex (% </w:t>
            </w:r>
            <w:proofErr w:type="gramStart"/>
            <w:r w:rsidRPr="0071085D">
              <w:rPr>
                <w:sz w:val="20"/>
                <w:szCs w:val="20"/>
                <w:lang w:val="en-CA"/>
              </w:rPr>
              <w:t>female)</w:t>
            </w:r>
            <w:r w:rsidRPr="0071085D">
              <w:rPr>
                <w:sz w:val="20"/>
                <w:szCs w:val="20"/>
                <w:vertAlign w:val="superscript"/>
                <w:lang w:val="en-CA"/>
              </w:rPr>
              <w:t>a</w:t>
            </w:r>
            <w:proofErr w:type="gramEnd"/>
          </w:p>
        </w:tc>
        <w:tc>
          <w:tcPr>
            <w:tcW w:w="1884" w:type="dxa"/>
            <w:gridSpan w:val="2"/>
            <w:tcBorders>
              <w:top w:val="nil"/>
              <w:left w:val="nil"/>
              <w:bottom w:val="nil"/>
              <w:right w:val="nil"/>
            </w:tcBorders>
          </w:tcPr>
          <w:p w14:paraId="38E9F005" w14:textId="6900C10C" w:rsidR="000D1283" w:rsidRPr="0071085D" w:rsidRDefault="000D1283" w:rsidP="00601620">
            <w:pPr>
              <w:widowControl w:val="0"/>
              <w:spacing w:line="480" w:lineRule="auto"/>
              <w:rPr>
                <w:sz w:val="20"/>
                <w:szCs w:val="20"/>
                <w:lang w:val="en-CA"/>
              </w:rPr>
            </w:pPr>
            <w:r w:rsidRPr="0071085D">
              <w:rPr>
                <w:sz w:val="20"/>
                <w:szCs w:val="20"/>
                <w:lang w:val="en-CA"/>
              </w:rPr>
              <w:t>83.9</w:t>
            </w:r>
          </w:p>
        </w:tc>
        <w:tc>
          <w:tcPr>
            <w:tcW w:w="1289" w:type="dxa"/>
            <w:tcBorders>
              <w:top w:val="nil"/>
              <w:left w:val="nil"/>
              <w:bottom w:val="nil"/>
              <w:right w:val="nil"/>
            </w:tcBorders>
          </w:tcPr>
          <w:p w14:paraId="66DE43E7" w14:textId="78288B87" w:rsidR="000D1283" w:rsidRPr="0071085D" w:rsidRDefault="00CC6204" w:rsidP="00601620">
            <w:pPr>
              <w:widowControl w:val="0"/>
              <w:spacing w:line="480" w:lineRule="auto"/>
              <w:rPr>
                <w:sz w:val="20"/>
                <w:szCs w:val="20"/>
                <w:lang w:val="en-CA"/>
              </w:rPr>
            </w:pPr>
            <w:r w:rsidRPr="0071085D">
              <w:rPr>
                <w:sz w:val="20"/>
                <w:szCs w:val="20"/>
                <w:lang w:val="en-CA"/>
              </w:rPr>
              <w:t>72.4</w:t>
            </w:r>
          </w:p>
        </w:tc>
        <w:tc>
          <w:tcPr>
            <w:tcW w:w="1414" w:type="dxa"/>
            <w:gridSpan w:val="2"/>
            <w:tcBorders>
              <w:top w:val="nil"/>
              <w:left w:val="nil"/>
              <w:bottom w:val="nil"/>
              <w:right w:val="nil"/>
            </w:tcBorders>
          </w:tcPr>
          <w:p w14:paraId="644774DB" w14:textId="31D21117" w:rsidR="000D1283" w:rsidRPr="0071085D" w:rsidRDefault="00AF090F" w:rsidP="00601620">
            <w:pPr>
              <w:widowControl w:val="0"/>
              <w:spacing w:line="480" w:lineRule="auto"/>
              <w:rPr>
                <w:sz w:val="20"/>
                <w:szCs w:val="20"/>
                <w:lang w:val="en-CA"/>
              </w:rPr>
            </w:pPr>
            <w:r w:rsidRPr="0071085D">
              <w:rPr>
                <w:sz w:val="20"/>
                <w:szCs w:val="20"/>
                <w:lang w:val="en-CA"/>
              </w:rPr>
              <w:t>86.6</w:t>
            </w:r>
          </w:p>
        </w:tc>
        <w:tc>
          <w:tcPr>
            <w:tcW w:w="1271" w:type="dxa"/>
            <w:tcBorders>
              <w:top w:val="nil"/>
              <w:left w:val="nil"/>
              <w:bottom w:val="nil"/>
              <w:right w:val="nil"/>
            </w:tcBorders>
          </w:tcPr>
          <w:p w14:paraId="245ADA30" w14:textId="62E67466" w:rsidR="000D1283" w:rsidRPr="0071085D" w:rsidRDefault="00AF090F" w:rsidP="00601620">
            <w:pPr>
              <w:widowControl w:val="0"/>
              <w:spacing w:line="480" w:lineRule="auto"/>
              <w:rPr>
                <w:sz w:val="20"/>
                <w:szCs w:val="20"/>
                <w:lang w:val="en-CA"/>
              </w:rPr>
            </w:pPr>
            <w:r w:rsidRPr="0071085D">
              <w:rPr>
                <w:sz w:val="20"/>
                <w:szCs w:val="20"/>
                <w:lang w:val="en-CA"/>
              </w:rPr>
              <w:t>81.5</w:t>
            </w:r>
          </w:p>
        </w:tc>
        <w:tc>
          <w:tcPr>
            <w:tcW w:w="1055" w:type="dxa"/>
            <w:tcBorders>
              <w:top w:val="nil"/>
              <w:left w:val="nil"/>
              <w:bottom w:val="nil"/>
              <w:right w:val="nil"/>
            </w:tcBorders>
          </w:tcPr>
          <w:p w14:paraId="786CBC94" w14:textId="3E0C4D1D" w:rsidR="000D1283" w:rsidRPr="0071085D" w:rsidRDefault="00AF090F" w:rsidP="00601620">
            <w:pPr>
              <w:widowControl w:val="0"/>
              <w:spacing w:line="480" w:lineRule="auto"/>
              <w:rPr>
                <w:sz w:val="20"/>
                <w:szCs w:val="20"/>
                <w:lang w:val="en-CA"/>
              </w:rPr>
            </w:pPr>
            <w:r w:rsidRPr="0071085D">
              <w:rPr>
                <w:sz w:val="20"/>
                <w:szCs w:val="20"/>
                <w:lang w:val="en-CA"/>
              </w:rPr>
              <w:t>93.3</w:t>
            </w:r>
          </w:p>
        </w:tc>
      </w:tr>
      <w:tr w:rsidR="000D1283" w:rsidRPr="0071085D" w14:paraId="14323E8F" w14:textId="7E8B808F" w:rsidTr="00BE7EF5">
        <w:trPr>
          <w:gridAfter w:val="1"/>
          <w:wAfter w:w="71" w:type="dxa"/>
          <w:trHeight w:val="474"/>
        </w:trPr>
        <w:tc>
          <w:tcPr>
            <w:tcW w:w="3582" w:type="dxa"/>
            <w:tcBorders>
              <w:top w:val="nil"/>
              <w:left w:val="nil"/>
              <w:bottom w:val="nil"/>
              <w:right w:val="nil"/>
            </w:tcBorders>
          </w:tcPr>
          <w:p w14:paraId="2EF54237" w14:textId="3ADF4E2C" w:rsidR="000D1283" w:rsidRPr="0071085D" w:rsidRDefault="000D1283" w:rsidP="00601620">
            <w:pPr>
              <w:widowControl w:val="0"/>
              <w:spacing w:line="480" w:lineRule="auto"/>
              <w:rPr>
                <w:sz w:val="20"/>
                <w:szCs w:val="20"/>
                <w:lang w:val="en-CA"/>
              </w:rPr>
            </w:pPr>
            <w:r w:rsidRPr="0071085D">
              <w:rPr>
                <w:sz w:val="20"/>
                <w:szCs w:val="20"/>
                <w:lang w:val="en-CA"/>
              </w:rPr>
              <w:t xml:space="preserve">Country of birth (% </w:t>
            </w:r>
            <w:proofErr w:type="gramStart"/>
            <w:r w:rsidRPr="0071085D">
              <w:rPr>
                <w:sz w:val="20"/>
                <w:szCs w:val="20"/>
                <w:lang w:val="en-CA"/>
              </w:rPr>
              <w:t>Canada)</w:t>
            </w:r>
            <w:r w:rsidRPr="0071085D">
              <w:rPr>
                <w:sz w:val="20"/>
                <w:szCs w:val="20"/>
                <w:vertAlign w:val="superscript"/>
                <w:lang w:val="en-CA"/>
              </w:rPr>
              <w:t>b</w:t>
            </w:r>
            <w:proofErr w:type="gramEnd"/>
          </w:p>
        </w:tc>
        <w:tc>
          <w:tcPr>
            <w:tcW w:w="1884" w:type="dxa"/>
            <w:gridSpan w:val="2"/>
            <w:tcBorders>
              <w:top w:val="nil"/>
              <w:left w:val="nil"/>
              <w:bottom w:val="nil"/>
              <w:right w:val="nil"/>
            </w:tcBorders>
          </w:tcPr>
          <w:p w14:paraId="4222D01B" w14:textId="23C6D157" w:rsidR="000D1283" w:rsidRPr="0071085D" w:rsidRDefault="000D1283" w:rsidP="00601620">
            <w:pPr>
              <w:widowControl w:val="0"/>
              <w:spacing w:line="480" w:lineRule="auto"/>
              <w:rPr>
                <w:sz w:val="20"/>
                <w:szCs w:val="20"/>
                <w:lang w:val="en-CA"/>
              </w:rPr>
            </w:pPr>
            <w:r w:rsidRPr="0071085D">
              <w:rPr>
                <w:sz w:val="20"/>
                <w:szCs w:val="20"/>
                <w:lang w:val="en-CA"/>
              </w:rPr>
              <w:t>90.5</w:t>
            </w:r>
          </w:p>
        </w:tc>
        <w:tc>
          <w:tcPr>
            <w:tcW w:w="1289" w:type="dxa"/>
            <w:tcBorders>
              <w:top w:val="nil"/>
              <w:left w:val="nil"/>
              <w:bottom w:val="nil"/>
              <w:right w:val="nil"/>
            </w:tcBorders>
          </w:tcPr>
          <w:p w14:paraId="44DE3F73" w14:textId="02E54BA8" w:rsidR="000D1283" w:rsidRPr="0071085D" w:rsidRDefault="00E23435" w:rsidP="00601620">
            <w:pPr>
              <w:widowControl w:val="0"/>
              <w:spacing w:line="480" w:lineRule="auto"/>
              <w:rPr>
                <w:sz w:val="20"/>
                <w:szCs w:val="20"/>
                <w:lang w:val="en-CA"/>
              </w:rPr>
            </w:pPr>
            <w:r w:rsidRPr="0071085D">
              <w:rPr>
                <w:sz w:val="20"/>
                <w:szCs w:val="20"/>
                <w:lang w:val="en-CA"/>
              </w:rPr>
              <w:t>88.4</w:t>
            </w:r>
          </w:p>
        </w:tc>
        <w:tc>
          <w:tcPr>
            <w:tcW w:w="1414" w:type="dxa"/>
            <w:gridSpan w:val="2"/>
            <w:tcBorders>
              <w:top w:val="nil"/>
              <w:left w:val="nil"/>
              <w:bottom w:val="nil"/>
              <w:right w:val="nil"/>
            </w:tcBorders>
          </w:tcPr>
          <w:p w14:paraId="12DC8677" w14:textId="31941757" w:rsidR="000D1283" w:rsidRPr="0071085D" w:rsidRDefault="00E23435" w:rsidP="00601620">
            <w:pPr>
              <w:widowControl w:val="0"/>
              <w:spacing w:line="480" w:lineRule="auto"/>
              <w:rPr>
                <w:sz w:val="20"/>
                <w:szCs w:val="20"/>
                <w:lang w:val="en-CA"/>
              </w:rPr>
            </w:pPr>
            <w:r w:rsidRPr="0071085D">
              <w:rPr>
                <w:sz w:val="20"/>
                <w:szCs w:val="20"/>
                <w:lang w:val="en-CA"/>
              </w:rPr>
              <w:t>92.2</w:t>
            </w:r>
          </w:p>
        </w:tc>
        <w:tc>
          <w:tcPr>
            <w:tcW w:w="1271" w:type="dxa"/>
            <w:tcBorders>
              <w:top w:val="nil"/>
              <w:left w:val="nil"/>
              <w:bottom w:val="nil"/>
              <w:right w:val="nil"/>
            </w:tcBorders>
          </w:tcPr>
          <w:p w14:paraId="311F2DF1" w14:textId="19503E00" w:rsidR="000D1283" w:rsidRPr="0071085D" w:rsidRDefault="00E23435" w:rsidP="00601620">
            <w:pPr>
              <w:widowControl w:val="0"/>
              <w:spacing w:line="480" w:lineRule="auto"/>
              <w:rPr>
                <w:sz w:val="20"/>
                <w:szCs w:val="20"/>
                <w:lang w:val="en-CA"/>
              </w:rPr>
            </w:pPr>
            <w:r w:rsidRPr="0071085D">
              <w:rPr>
                <w:sz w:val="20"/>
                <w:szCs w:val="20"/>
                <w:lang w:val="en-CA"/>
              </w:rPr>
              <w:t>89.9</w:t>
            </w:r>
          </w:p>
        </w:tc>
        <w:tc>
          <w:tcPr>
            <w:tcW w:w="1055" w:type="dxa"/>
            <w:tcBorders>
              <w:top w:val="nil"/>
              <w:left w:val="nil"/>
              <w:bottom w:val="nil"/>
              <w:right w:val="nil"/>
            </w:tcBorders>
          </w:tcPr>
          <w:p w14:paraId="48CFE576" w14:textId="32C9BB56" w:rsidR="000D1283" w:rsidRPr="0071085D" w:rsidRDefault="00E23435" w:rsidP="00601620">
            <w:pPr>
              <w:widowControl w:val="0"/>
              <w:spacing w:line="480" w:lineRule="auto"/>
              <w:rPr>
                <w:sz w:val="20"/>
                <w:szCs w:val="20"/>
                <w:lang w:val="en-CA"/>
              </w:rPr>
            </w:pPr>
            <w:r w:rsidRPr="0071085D">
              <w:rPr>
                <w:sz w:val="20"/>
                <w:szCs w:val="20"/>
                <w:lang w:val="en-CA"/>
              </w:rPr>
              <w:t>88.6</w:t>
            </w:r>
          </w:p>
        </w:tc>
      </w:tr>
      <w:tr w:rsidR="000D1283" w:rsidRPr="0071085D" w14:paraId="1DFFB3BA" w14:textId="6AA2AEEA" w:rsidTr="00BE7EF5">
        <w:trPr>
          <w:gridAfter w:val="1"/>
          <w:wAfter w:w="71" w:type="dxa"/>
          <w:trHeight w:val="454"/>
        </w:trPr>
        <w:tc>
          <w:tcPr>
            <w:tcW w:w="3582" w:type="dxa"/>
            <w:tcBorders>
              <w:top w:val="nil"/>
              <w:left w:val="nil"/>
              <w:bottom w:val="nil"/>
              <w:right w:val="nil"/>
            </w:tcBorders>
          </w:tcPr>
          <w:p w14:paraId="6696BCC7" w14:textId="7142E315" w:rsidR="000D1283" w:rsidRPr="0071085D" w:rsidRDefault="00FD6AC7" w:rsidP="00601620">
            <w:pPr>
              <w:widowControl w:val="0"/>
              <w:spacing w:line="480" w:lineRule="auto"/>
              <w:rPr>
                <w:sz w:val="20"/>
                <w:szCs w:val="20"/>
                <w:lang w:val="en-CA"/>
              </w:rPr>
            </w:pPr>
            <w:r w:rsidRPr="0071085D">
              <w:rPr>
                <w:sz w:val="20"/>
                <w:szCs w:val="20"/>
                <w:lang w:val="en-CA"/>
              </w:rPr>
              <w:t xml:space="preserve">Religious affiliation (% </w:t>
            </w:r>
            <w:proofErr w:type="gramStart"/>
            <w:r w:rsidRPr="0071085D">
              <w:rPr>
                <w:sz w:val="20"/>
                <w:szCs w:val="20"/>
                <w:lang w:val="en-CA"/>
              </w:rPr>
              <w:t>yes)</w:t>
            </w:r>
            <w:r w:rsidRPr="0071085D">
              <w:rPr>
                <w:sz w:val="20"/>
                <w:szCs w:val="20"/>
                <w:vertAlign w:val="superscript"/>
                <w:lang w:val="en-CA"/>
              </w:rPr>
              <w:t>c</w:t>
            </w:r>
            <w:proofErr w:type="gramEnd"/>
          </w:p>
        </w:tc>
        <w:tc>
          <w:tcPr>
            <w:tcW w:w="1884" w:type="dxa"/>
            <w:gridSpan w:val="2"/>
            <w:tcBorders>
              <w:top w:val="nil"/>
              <w:left w:val="nil"/>
              <w:bottom w:val="nil"/>
              <w:right w:val="nil"/>
            </w:tcBorders>
          </w:tcPr>
          <w:p w14:paraId="6B705D4B" w14:textId="4FC6FDF0" w:rsidR="000D1283" w:rsidRPr="0071085D" w:rsidRDefault="00FD6AC7" w:rsidP="00601620">
            <w:pPr>
              <w:widowControl w:val="0"/>
              <w:spacing w:line="480" w:lineRule="auto"/>
              <w:rPr>
                <w:sz w:val="20"/>
                <w:szCs w:val="20"/>
                <w:lang w:val="en-CA"/>
              </w:rPr>
            </w:pPr>
            <w:r w:rsidRPr="0071085D">
              <w:rPr>
                <w:sz w:val="20"/>
                <w:szCs w:val="20"/>
                <w:lang w:val="en-CA"/>
              </w:rPr>
              <w:t>29.7</w:t>
            </w:r>
          </w:p>
        </w:tc>
        <w:tc>
          <w:tcPr>
            <w:tcW w:w="1289" w:type="dxa"/>
            <w:tcBorders>
              <w:top w:val="nil"/>
              <w:left w:val="nil"/>
              <w:bottom w:val="nil"/>
              <w:right w:val="nil"/>
            </w:tcBorders>
          </w:tcPr>
          <w:p w14:paraId="3BDF9DED" w14:textId="4CEFAF73" w:rsidR="000D1283" w:rsidRPr="0071085D" w:rsidRDefault="00750451" w:rsidP="00601620">
            <w:pPr>
              <w:widowControl w:val="0"/>
              <w:spacing w:line="480" w:lineRule="auto"/>
              <w:rPr>
                <w:sz w:val="20"/>
                <w:szCs w:val="20"/>
                <w:lang w:val="en-CA"/>
              </w:rPr>
            </w:pPr>
            <w:r w:rsidRPr="0071085D">
              <w:rPr>
                <w:sz w:val="20"/>
                <w:szCs w:val="20"/>
                <w:lang w:val="en-CA"/>
              </w:rPr>
              <w:t>31.6</w:t>
            </w:r>
          </w:p>
        </w:tc>
        <w:tc>
          <w:tcPr>
            <w:tcW w:w="1414" w:type="dxa"/>
            <w:gridSpan w:val="2"/>
            <w:tcBorders>
              <w:top w:val="nil"/>
              <w:left w:val="nil"/>
              <w:bottom w:val="nil"/>
              <w:right w:val="nil"/>
            </w:tcBorders>
          </w:tcPr>
          <w:p w14:paraId="649347CD" w14:textId="222AA386" w:rsidR="000D1283" w:rsidRPr="0071085D" w:rsidRDefault="00750451" w:rsidP="00601620">
            <w:pPr>
              <w:widowControl w:val="0"/>
              <w:spacing w:line="480" w:lineRule="auto"/>
              <w:rPr>
                <w:sz w:val="20"/>
                <w:szCs w:val="20"/>
                <w:lang w:val="en-CA"/>
              </w:rPr>
            </w:pPr>
            <w:r w:rsidRPr="0071085D">
              <w:rPr>
                <w:sz w:val="20"/>
                <w:szCs w:val="20"/>
                <w:lang w:val="en-CA"/>
              </w:rPr>
              <w:t>24.5</w:t>
            </w:r>
          </w:p>
        </w:tc>
        <w:tc>
          <w:tcPr>
            <w:tcW w:w="1271" w:type="dxa"/>
            <w:tcBorders>
              <w:top w:val="nil"/>
              <w:left w:val="nil"/>
              <w:bottom w:val="nil"/>
              <w:right w:val="nil"/>
            </w:tcBorders>
          </w:tcPr>
          <w:p w14:paraId="01365FA3" w14:textId="58D00FDD" w:rsidR="000D1283" w:rsidRPr="0071085D" w:rsidRDefault="00750451" w:rsidP="00601620">
            <w:pPr>
              <w:widowControl w:val="0"/>
              <w:spacing w:line="480" w:lineRule="auto"/>
              <w:rPr>
                <w:sz w:val="20"/>
                <w:szCs w:val="20"/>
                <w:lang w:val="en-CA"/>
              </w:rPr>
            </w:pPr>
            <w:r w:rsidRPr="0071085D">
              <w:rPr>
                <w:sz w:val="20"/>
                <w:szCs w:val="20"/>
                <w:lang w:val="en-CA"/>
              </w:rPr>
              <w:t>37.8</w:t>
            </w:r>
          </w:p>
        </w:tc>
        <w:tc>
          <w:tcPr>
            <w:tcW w:w="1055" w:type="dxa"/>
            <w:tcBorders>
              <w:top w:val="nil"/>
              <w:left w:val="nil"/>
              <w:bottom w:val="nil"/>
              <w:right w:val="nil"/>
            </w:tcBorders>
          </w:tcPr>
          <w:p w14:paraId="7E1D390C" w14:textId="40FD765D" w:rsidR="000D1283" w:rsidRPr="0071085D" w:rsidRDefault="00750451" w:rsidP="00601620">
            <w:pPr>
              <w:widowControl w:val="0"/>
              <w:spacing w:line="480" w:lineRule="auto"/>
              <w:rPr>
                <w:sz w:val="20"/>
                <w:szCs w:val="20"/>
                <w:lang w:val="en-CA"/>
              </w:rPr>
            </w:pPr>
            <w:r w:rsidRPr="0071085D">
              <w:rPr>
                <w:sz w:val="20"/>
                <w:szCs w:val="20"/>
                <w:lang w:val="en-CA"/>
              </w:rPr>
              <w:t>27.6</w:t>
            </w:r>
          </w:p>
        </w:tc>
      </w:tr>
      <w:tr w:rsidR="00FD6AC7" w:rsidRPr="0071085D" w14:paraId="47BF97C4" w14:textId="42226CBB" w:rsidTr="00BE7EF5">
        <w:trPr>
          <w:gridAfter w:val="1"/>
          <w:wAfter w:w="71" w:type="dxa"/>
          <w:trHeight w:val="454"/>
        </w:trPr>
        <w:tc>
          <w:tcPr>
            <w:tcW w:w="3582" w:type="dxa"/>
            <w:tcBorders>
              <w:top w:val="nil"/>
              <w:left w:val="nil"/>
              <w:bottom w:val="nil"/>
              <w:right w:val="nil"/>
            </w:tcBorders>
          </w:tcPr>
          <w:p w14:paraId="759EB34C" w14:textId="05BB16A0" w:rsidR="00FD6AC7" w:rsidRPr="0071085D" w:rsidRDefault="00FD6AC7" w:rsidP="00601620">
            <w:pPr>
              <w:widowControl w:val="0"/>
              <w:spacing w:line="480" w:lineRule="auto"/>
              <w:rPr>
                <w:sz w:val="20"/>
                <w:szCs w:val="20"/>
                <w:lang w:val="en-CA"/>
              </w:rPr>
            </w:pPr>
            <w:r w:rsidRPr="0071085D">
              <w:rPr>
                <w:sz w:val="20"/>
                <w:szCs w:val="20"/>
                <w:lang w:val="en-CA"/>
              </w:rPr>
              <w:t xml:space="preserve">Religious practice (% </w:t>
            </w:r>
            <w:proofErr w:type="gramStart"/>
            <w:r w:rsidRPr="0071085D">
              <w:rPr>
                <w:sz w:val="20"/>
                <w:szCs w:val="20"/>
                <w:lang w:val="en-CA"/>
              </w:rPr>
              <w:t>yes)</w:t>
            </w:r>
            <w:r w:rsidRPr="0071085D">
              <w:rPr>
                <w:sz w:val="20"/>
                <w:szCs w:val="20"/>
                <w:vertAlign w:val="superscript"/>
                <w:lang w:val="en-CA"/>
              </w:rPr>
              <w:t>d</w:t>
            </w:r>
            <w:proofErr w:type="gramEnd"/>
          </w:p>
        </w:tc>
        <w:tc>
          <w:tcPr>
            <w:tcW w:w="1884" w:type="dxa"/>
            <w:gridSpan w:val="2"/>
            <w:tcBorders>
              <w:top w:val="nil"/>
              <w:left w:val="nil"/>
              <w:bottom w:val="nil"/>
              <w:right w:val="nil"/>
            </w:tcBorders>
          </w:tcPr>
          <w:p w14:paraId="1E74FDB6" w14:textId="755FBE54" w:rsidR="00FD6AC7" w:rsidRPr="0071085D" w:rsidRDefault="00FD6AC7" w:rsidP="00601620">
            <w:pPr>
              <w:widowControl w:val="0"/>
              <w:spacing w:line="480" w:lineRule="auto"/>
              <w:rPr>
                <w:sz w:val="20"/>
                <w:szCs w:val="20"/>
                <w:lang w:val="en-CA"/>
              </w:rPr>
            </w:pPr>
            <w:r w:rsidRPr="0071085D">
              <w:rPr>
                <w:sz w:val="20"/>
                <w:szCs w:val="20"/>
                <w:lang w:val="en-CA"/>
              </w:rPr>
              <w:t>24.1</w:t>
            </w:r>
          </w:p>
        </w:tc>
        <w:tc>
          <w:tcPr>
            <w:tcW w:w="1289" w:type="dxa"/>
            <w:tcBorders>
              <w:top w:val="nil"/>
              <w:left w:val="nil"/>
              <w:bottom w:val="nil"/>
              <w:right w:val="nil"/>
            </w:tcBorders>
          </w:tcPr>
          <w:p w14:paraId="77B21FCE" w14:textId="56B2A8E6" w:rsidR="00FD6AC7" w:rsidRPr="0071085D" w:rsidRDefault="00750451" w:rsidP="00601620">
            <w:pPr>
              <w:widowControl w:val="0"/>
              <w:spacing w:line="480" w:lineRule="auto"/>
              <w:rPr>
                <w:sz w:val="20"/>
                <w:szCs w:val="20"/>
                <w:lang w:val="en-CA"/>
              </w:rPr>
            </w:pPr>
            <w:r w:rsidRPr="0071085D">
              <w:rPr>
                <w:sz w:val="20"/>
                <w:szCs w:val="20"/>
                <w:lang w:val="en-CA"/>
              </w:rPr>
              <w:t>22.8</w:t>
            </w:r>
          </w:p>
        </w:tc>
        <w:tc>
          <w:tcPr>
            <w:tcW w:w="1414" w:type="dxa"/>
            <w:gridSpan w:val="2"/>
            <w:tcBorders>
              <w:top w:val="nil"/>
              <w:left w:val="nil"/>
              <w:bottom w:val="nil"/>
              <w:right w:val="nil"/>
            </w:tcBorders>
          </w:tcPr>
          <w:p w14:paraId="174928AA" w14:textId="1F06549A" w:rsidR="00FD6AC7" w:rsidRPr="0071085D" w:rsidRDefault="00750451" w:rsidP="00601620">
            <w:pPr>
              <w:widowControl w:val="0"/>
              <w:spacing w:line="480" w:lineRule="auto"/>
              <w:rPr>
                <w:sz w:val="20"/>
                <w:szCs w:val="20"/>
                <w:lang w:val="en-CA"/>
              </w:rPr>
            </w:pPr>
            <w:r w:rsidRPr="0071085D">
              <w:rPr>
                <w:sz w:val="20"/>
                <w:szCs w:val="20"/>
                <w:lang w:val="en-CA"/>
              </w:rPr>
              <w:t>20.6</w:t>
            </w:r>
          </w:p>
        </w:tc>
        <w:tc>
          <w:tcPr>
            <w:tcW w:w="1271" w:type="dxa"/>
            <w:tcBorders>
              <w:top w:val="nil"/>
              <w:left w:val="nil"/>
              <w:bottom w:val="nil"/>
              <w:right w:val="nil"/>
            </w:tcBorders>
          </w:tcPr>
          <w:p w14:paraId="6CA9C38B" w14:textId="50E851A4" w:rsidR="00FD6AC7" w:rsidRPr="0071085D" w:rsidRDefault="00750451" w:rsidP="00601620">
            <w:pPr>
              <w:widowControl w:val="0"/>
              <w:spacing w:line="480" w:lineRule="auto"/>
              <w:rPr>
                <w:sz w:val="20"/>
                <w:szCs w:val="20"/>
                <w:lang w:val="en-CA"/>
              </w:rPr>
            </w:pPr>
            <w:r w:rsidRPr="0071085D">
              <w:rPr>
                <w:sz w:val="20"/>
                <w:szCs w:val="20"/>
                <w:lang w:val="en-CA"/>
              </w:rPr>
              <w:t>31.0</w:t>
            </w:r>
          </w:p>
        </w:tc>
        <w:tc>
          <w:tcPr>
            <w:tcW w:w="1055" w:type="dxa"/>
            <w:tcBorders>
              <w:top w:val="nil"/>
              <w:left w:val="nil"/>
              <w:bottom w:val="nil"/>
              <w:right w:val="nil"/>
            </w:tcBorders>
          </w:tcPr>
          <w:p w14:paraId="3DB22703" w14:textId="7B90D52B" w:rsidR="00FD6AC7" w:rsidRPr="0071085D" w:rsidRDefault="00750451" w:rsidP="00601620">
            <w:pPr>
              <w:widowControl w:val="0"/>
              <w:spacing w:line="480" w:lineRule="auto"/>
              <w:rPr>
                <w:sz w:val="20"/>
                <w:szCs w:val="20"/>
                <w:lang w:val="en-CA"/>
              </w:rPr>
            </w:pPr>
            <w:r w:rsidRPr="0071085D">
              <w:rPr>
                <w:sz w:val="20"/>
                <w:szCs w:val="20"/>
                <w:lang w:val="en-CA"/>
              </w:rPr>
              <w:t>20.3</w:t>
            </w:r>
          </w:p>
        </w:tc>
      </w:tr>
      <w:tr w:rsidR="00FD6AC7" w:rsidRPr="0071085D" w14:paraId="5C92E26A" w14:textId="768F7933" w:rsidTr="00BE7EF5">
        <w:trPr>
          <w:gridAfter w:val="1"/>
          <w:wAfter w:w="71" w:type="dxa"/>
          <w:trHeight w:val="474"/>
        </w:trPr>
        <w:tc>
          <w:tcPr>
            <w:tcW w:w="3582" w:type="dxa"/>
            <w:tcBorders>
              <w:top w:val="nil"/>
              <w:left w:val="nil"/>
              <w:bottom w:val="nil"/>
              <w:right w:val="nil"/>
            </w:tcBorders>
          </w:tcPr>
          <w:p w14:paraId="1C2E262D" w14:textId="4BAEDD59" w:rsidR="00FD6AC7" w:rsidRPr="0071085D" w:rsidRDefault="00FD6AC7" w:rsidP="00601620">
            <w:pPr>
              <w:widowControl w:val="0"/>
              <w:spacing w:line="480" w:lineRule="auto"/>
              <w:rPr>
                <w:sz w:val="20"/>
                <w:szCs w:val="20"/>
                <w:lang w:val="en-CA"/>
              </w:rPr>
            </w:pPr>
            <w:r w:rsidRPr="0071085D">
              <w:rPr>
                <w:sz w:val="20"/>
                <w:szCs w:val="20"/>
                <w:lang w:val="en-CA"/>
              </w:rPr>
              <w:t xml:space="preserve">Education (% college / university </w:t>
            </w:r>
            <w:proofErr w:type="gramStart"/>
            <w:r w:rsidRPr="0071085D">
              <w:rPr>
                <w:sz w:val="20"/>
                <w:szCs w:val="20"/>
                <w:lang w:val="en-CA"/>
              </w:rPr>
              <w:t>grad)</w:t>
            </w:r>
            <w:r w:rsidRPr="0071085D">
              <w:rPr>
                <w:sz w:val="20"/>
                <w:szCs w:val="20"/>
                <w:vertAlign w:val="superscript"/>
                <w:lang w:val="en-CA"/>
              </w:rPr>
              <w:t>e</w:t>
            </w:r>
            <w:proofErr w:type="gramEnd"/>
          </w:p>
        </w:tc>
        <w:tc>
          <w:tcPr>
            <w:tcW w:w="1884" w:type="dxa"/>
            <w:gridSpan w:val="2"/>
            <w:tcBorders>
              <w:top w:val="nil"/>
              <w:left w:val="nil"/>
              <w:bottom w:val="nil"/>
              <w:right w:val="nil"/>
            </w:tcBorders>
          </w:tcPr>
          <w:p w14:paraId="6493820D" w14:textId="0E6E8DEE" w:rsidR="00FD6AC7" w:rsidRPr="0071085D" w:rsidRDefault="00FD6AC7" w:rsidP="00601620">
            <w:pPr>
              <w:widowControl w:val="0"/>
              <w:spacing w:line="480" w:lineRule="auto"/>
              <w:rPr>
                <w:sz w:val="20"/>
                <w:szCs w:val="20"/>
                <w:lang w:val="en-CA"/>
              </w:rPr>
            </w:pPr>
            <w:r w:rsidRPr="0071085D">
              <w:rPr>
                <w:sz w:val="20"/>
                <w:szCs w:val="20"/>
                <w:lang w:val="en-CA"/>
              </w:rPr>
              <w:t>86.0</w:t>
            </w:r>
          </w:p>
        </w:tc>
        <w:tc>
          <w:tcPr>
            <w:tcW w:w="1289" w:type="dxa"/>
            <w:tcBorders>
              <w:top w:val="nil"/>
              <w:left w:val="nil"/>
              <w:bottom w:val="nil"/>
              <w:right w:val="nil"/>
            </w:tcBorders>
          </w:tcPr>
          <w:p w14:paraId="7EEEAFF9" w14:textId="440C37A3" w:rsidR="00FD6AC7" w:rsidRPr="0071085D" w:rsidRDefault="00EB1E6C" w:rsidP="00601620">
            <w:pPr>
              <w:widowControl w:val="0"/>
              <w:spacing w:line="480" w:lineRule="auto"/>
              <w:rPr>
                <w:sz w:val="20"/>
                <w:szCs w:val="20"/>
                <w:lang w:val="en-CA"/>
              </w:rPr>
            </w:pPr>
            <w:r w:rsidRPr="0071085D">
              <w:rPr>
                <w:sz w:val="20"/>
                <w:szCs w:val="20"/>
                <w:lang w:val="en-CA"/>
              </w:rPr>
              <w:t>70.5</w:t>
            </w:r>
          </w:p>
        </w:tc>
        <w:tc>
          <w:tcPr>
            <w:tcW w:w="1414" w:type="dxa"/>
            <w:gridSpan w:val="2"/>
            <w:tcBorders>
              <w:top w:val="nil"/>
              <w:left w:val="nil"/>
              <w:bottom w:val="nil"/>
              <w:right w:val="nil"/>
            </w:tcBorders>
          </w:tcPr>
          <w:p w14:paraId="63F092B2" w14:textId="035E14C6" w:rsidR="00FD6AC7" w:rsidRPr="0071085D" w:rsidRDefault="00EB1E6C" w:rsidP="00601620">
            <w:pPr>
              <w:widowControl w:val="0"/>
              <w:spacing w:line="480" w:lineRule="auto"/>
              <w:rPr>
                <w:sz w:val="20"/>
                <w:szCs w:val="20"/>
                <w:lang w:val="en-CA"/>
              </w:rPr>
            </w:pPr>
            <w:r w:rsidRPr="0071085D">
              <w:rPr>
                <w:sz w:val="20"/>
                <w:szCs w:val="20"/>
                <w:lang w:val="en-CA"/>
              </w:rPr>
              <w:t>86.1</w:t>
            </w:r>
          </w:p>
        </w:tc>
        <w:tc>
          <w:tcPr>
            <w:tcW w:w="1271" w:type="dxa"/>
            <w:tcBorders>
              <w:top w:val="nil"/>
              <w:left w:val="nil"/>
              <w:bottom w:val="nil"/>
              <w:right w:val="nil"/>
            </w:tcBorders>
          </w:tcPr>
          <w:p w14:paraId="1F38AEB4" w14:textId="7D0AD119" w:rsidR="00FD6AC7" w:rsidRPr="0071085D" w:rsidRDefault="00EB1E6C" w:rsidP="00601620">
            <w:pPr>
              <w:widowControl w:val="0"/>
              <w:spacing w:line="480" w:lineRule="auto"/>
              <w:rPr>
                <w:sz w:val="20"/>
                <w:szCs w:val="20"/>
                <w:lang w:val="en-CA"/>
              </w:rPr>
            </w:pPr>
            <w:r w:rsidRPr="0071085D">
              <w:rPr>
                <w:sz w:val="20"/>
                <w:szCs w:val="20"/>
                <w:lang w:val="en-CA"/>
              </w:rPr>
              <w:t>100.0</w:t>
            </w:r>
          </w:p>
        </w:tc>
        <w:tc>
          <w:tcPr>
            <w:tcW w:w="1055" w:type="dxa"/>
            <w:tcBorders>
              <w:top w:val="nil"/>
              <w:left w:val="nil"/>
              <w:bottom w:val="nil"/>
              <w:right w:val="nil"/>
            </w:tcBorders>
          </w:tcPr>
          <w:p w14:paraId="792994EE" w14:textId="4B4F9E16" w:rsidR="00FD6AC7" w:rsidRPr="0071085D" w:rsidRDefault="00EB1E6C" w:rsidP="00601620">
            <w:pPr>
              <w:widowControl w:val="0"/>
              <w:spacing w:line="480" w:lineRule="auto"/>
              <w:rPr>
                <w:sz w:val="20"/>
                <w:szCs w:val="20"/>
                <w:lang w:val="en-CA"/>
              </w:rPr>
            </w:pPr>
            <w:r w:rsidRPr="0071085D">
              <w:rPr>
                <w:sz w:val="20"/>
                <w:szCs w:val="20"/>
                <w:lang w:val="en-CA"/>
              </w:rPr>
              <w:t>83.7</w:t>
            </w:r>
          </w:p>
        </w:tc>
      </w:tr>
      <w:tr w:rsidR="00FD6AC7" w:rsidRPr="0071085D" w14:paraId="263AA609" w14:textId="4B4374F5" w:rsidTr="00BE7EF5">
        <w:trPr>
          <w:gridAfter w:val="1"/>
          <w:wAfter w:w="71" w:type="dxa"/>
          <w:trHeight w:val="454"/>
        </w:trPr>
        <w:tc>
          <w:tcPr>
            <w:tcW w:w="3582" w:type="dxa"/>
            <w:tcBorders>
              <w:top w:val="nil"/>
              <w:left w:val="nil"/>
              <w:bottom w:val="single" w:sz="4" w:space="0" w:color="auto"/>
              <w:right w:val="nil"/>
            </w:tcBorders>
          </w:tcPr>
          <w:p w14:paraId="0A04F11A" w14:textId="75A71095" w:rsidR="00FD6AC7" w:rsidRPr="0071085D" w:rsidRDefault="00FD6AC7" w:rsidP="00601620">
            <w:pPr>
              <w:widowControl w:val="0"/>
              <w:spacing w:line="480" w:lineRule="auto"/>
              <w:rPr>
                <w:sz w:val="20"/>
                <w:szCs w:val="20"/>
                <w:lang w:val="en-CA"/>
              </w:rPr>
            </w:pPr>
            <w:r w:rsidRPr="0071085D">
              <w:rPr>
                <w:sz w:val="20"/>
                <w:szCs w:val="20"/>
                <w:lang w:val="en-CA"/>
              </w:rPr>
              <w:t xml:space="preserve">Relationship status (% in a </w:t>
            </w:r>
            <w:proofErr w:type="gramStart"/>
            <w:r w:rsidRPr="0071085D">
              <w:rPr>
                <w:sz w:val="20"/>
                <w:szCs w:val="20"/>
                <w:lang w:val="en-CA"/>
              </w:rPr>
              <w:t>relationship)</w:t>
            </w:r>
            <w:r w:rsidRPr="0071085D">
              <w:rPr>
                <w:sz w:val="20"/>
                <w:szCs w:val="20"/>
                <w:vertAlign w:val="superscript"/>
                <w:lang w:val="en-CA"/>
              </w:rPr>
              <w:t>f</w:t>
            </w:r>
            <w:proofErr w:type="gramEnd"/>
          </w:p>
        </w:tc>
        <w:tc>
          <w:tcPr>
            <w:tcW w:w="1884" w:type="dxa"/>
            <w:gridSpan w:val="2"/>
            <w:tcBorders>
              <w:top w:val="nil"/>
              <w:left w:val="nil"/>
              <w:bottom w:val="single" w:sz="4" w:space="0" w:color="auto"/>
              <w:right w:val="nil"/>
            </w:tcBorders>
          </w:tcPr>
          <w:p w14:paraId="377938B8" w14:textId="25341799" w:rsidR="00FD6AC7" w:rsidRPr="0071085D" w:rsidRDefault="00FD6AC7" w:rsidP="00601620">
            <w:pPr>
              <w:widowControl w:val="0"/>
              <w:spacing w:line="480" w:lineRule="auto"/>
              <w:rPr>
                <w:sz w:val="20"/>
                <w:szCs w:val="20"/>
                <w:lang w:val="en-CA"/>
              </w:rPr>
            </w:pPr>
            <w:r w:rsidRPr="0071085D">
              <w:rPr>
                <w:sz w:val="20"/>
                <w:szCs w:val="20"/>
                <w:lang w:val="en-CA"/>
              </w:rPr>
              <w:t>59.6</w:t>
            </w:r>
          </w:p>
        </w:tc>
        <w:tc>
          <w:tcPr>
            <w:tcW w:w="1289" w:type="dxa"/>
            <w:tcBorders>
              <w:top w:val="nil"/>
              <w:left w:val="nil"/>
              <w:bottom w:val="single" w:sz="4" w:space="0" w:color="auto"/>
              <w:right w:val="nil"/>
            </w:tcBorders>
          </w:tcPr>
          <w:p w14:paraId="4E7732D5" w14:textId="2AF26E3D" w:rsidR="00FD6AC7" w:rsidRPr="0071085D" w:rsidRDefault="006F2010" w:rsidP="00601620">
            <w:pPr>
              <w:widowControl w:val="0"/>
              <w:spacing w:line="480" w:lineRule="auto"/>
              <w:rPr>
                <w:sz w:val="20"/>
                <w:szCs w:val="20"/>
                <w:lang w:val="en-CA"/>
              </w:rPr>
            </w:pPr>
            <w:r w:rsidRPr="0071085D">
              <w:rPr>
                <w:sz w:val="20"/>
                <w:szCs w:val="20"/>
                <w:lang w:val="en-CA"/>
              </w:rPr>
              <w:t>37.9</w:t>
            </w:r>
          </w:p>
        </w:tc>
        <w:tc>
          <w:tcPr>
            <w:tcW w:w="1414" w:type="dxa"/>
            <w:gridSpan w:val="2"/>
            <w:tcBorders>
              <w:top w:val="nil"/>
              <w:left w:val="nil"/>
              <w:bottom w:val="single" w:sz="4" w:space="0" w:color="auto"/>
              <w:right w:val="nil"/>
            </w:tcBorders>
          </w:tcPr>
          <w:p w14:paraId="0739DE7D" w14:textId="317BD368" w:rsidR="00FD6AC7" w:rsidRPr="0071085D" w:rsidRDefault="006F2010" w:rsidP="00601620">
            <w:pPr>
              <w:widowControl w:val="0"/>
              <w:spacing w:line="480" w:lineRule="auto"/>
              <w:rPr>
                <w:sz w:val="20"/>
                <w:szCs w:val="20"/>
                <w:lang w:val="en-CA"/>
              </w:rPr>
            </w:pPr>
            <w:r w:rsidRPr="0071085D">
              <w:rPr>
                <w:sz w:val="20"/>
                <w:szCs w:val="20"/>
                <w:lang w:val="en-CA"/>
              </w:rPr>
              <w:t>96.3</w:t>
            </w:r>
          </w:p>
        </w:tc>
        <w:tc>
          <w:tcPr>
            <w:tcW w:w="1271" w:type="dxa"/>
            <w:tcBorders>
              <w:top w:val="nil"/>
              <w:left w:val="nil"/>
              <w:bottom w:val="single" w:sz="4" w:space="0" w:color="auto"/>
              <w:right w:val="nil"/>
            </w:tcBorders>
          </w:tcPr>
          <w:p w14:paraId="52190DFE" w14:textId="258CB78C" w:rsidR="00FD6AC7" w:rsidRPr="0071085D" w:rsidRDefault="006F2010" w:rsidP="00601620">
            <w:pPr>
              <w:widowControl w:val="0"/>
              <w:spacing w:line="480" w:lineRule="auto"/>
              <w:rPr>
                <w:sz w:val="20"/>
                <w:szCs w:val="20"/>
                <w:lang w:val="en-CA"/>
              </w:rPr>
            </w:pPr>
            <w:r w:rsidRPr="0071085D">
              <w:rPr>
                <w:sz w:val="20"/>
                <w:szCs w:val="20"/>
                <w:lang w:val="en-CA"/>
              </w:rPr>
              <w:t>53.7</w:t>
            </w:r>
          </w:p>
        </w:tc>
        <w:tc>
          <w:tcPr>
            <w:tcW w:w="1055" w:type="dxa"/>
            <w:tcBorders>
              <w:top w:val="nil"/>
              <w:left w:val="nil"/>
              <w:bottom w:val="single" w:sz="4" w:space="0" w:color="auto"/>
              <w:right w:val="nil"/>
            </w:tcBorders>
          </w:tcPr>
          <w:p w14:paraId="75EAB6A3" w14:textId="226A4CEE" w:rsidR="00FD6AC7" w:rsidRPr="0071085D" w:rsidRDefault="006F2010" w:rsidP="00601620">
            <w:pPr>
              <w:widowControl w:val="0"/>
              <w:spacing w:line="480" w:lineRule="auto"/>
              <w:rPr>
                <w:sz w:val="20"/>
                <w:szCs w:val="20"/>
                <w:lang w:val="en-CA"/>
              </w:rPr>
            </w:pPr>
            <w:r w:rsidRPr="0071085D">
              <w:rPr>
                <w:sz w:val="20"/>
                <w:szCs w:val="20"/>
                <w:lang w:val="en-CA"/>
              </w:rPr>
              <w:t>38.2</w:t>
            </w:r>
          </w:p>
        </w:tc>
      </w:tr>
      <w:tr w:rsidR="00FD6AC7" w:rsidRPr="0071085D" w14:paraId="6D145860" w14:textId="486D9109" w:rsidTr="00BE7EF5">
        <w:trPr>
          <w:gridAfter w:val="1"/>
          <w:wAfter w:w="71" w:type="dxa"/>
          <w:trHeight w:val="474"/>
        </w:trPr>
        <w:tc>
          <w:tcPr>
            <w:tcW w:w="10495" w:type="dxa"/>
            <w:gridSpan w:val="8"/>
            <w:tcBorders>
              <w:left w:val="nil"/>
              <w:bottom w:val="single" w:sz="4" w:space="0" w:color="auto"/>
              <w:right w:val="nil"/>
            </w:tcBorders>
          </w:tcPr>
          <w:p w14:paraId="2E61EFFF" w14:textId="73264F99" w:rsidR="00FD6AC7" w:rsidRPr="0071085D" w:rsidRDefault="00BE643D" w:rsidP="00601620">
            <w:pPr>
              <w:widowControl w:val="0"/>
              <w:spacing w:line="480" w:lineRule="auto"/>
              <w:rPr>
                <w:sz w:val="20"/>
                <w:szCs w:val="20"/>
                <w:lang w:val="en-CA"/>
              </w:rPr>
            </w:pPr>
            <w:r w:rsidRPr="0071085D">
              <w:rPr>
                <w:i/>
                <w:sz w:val="20"/>
                <w:szCs w:val="20"/>
                <w:lang w:val="en-CA"/>
              </w:rPr>
              <w:t>Correlates</w:t>
            </w:r>
          </w:p>
        </w:tc>
      </w:tr>
      <w:tr w:rsidR="00FD6AC7" w:rsidRPr="0071085D" w14:paraId="4E77058E" w14:textId="7E40C86C" w:rsidTr="00BE7EF5">
        <w:trPr>
          <w:gridAfter w:val="1"/>
          <w:wAfter w:w="71" w:type="dxa"/>
          <w:trHeight w:val="474"/>
        </w:trPr>
        <w:tc>
          <w:tcPr>
            <w:tcW w:w="3582" w:type="dxa"/>
            <w:tcBorders>
              <w:left w:val="nil"/>
              <w:bottom w:val="nil"/>
              <w:right w:val="nil"/>
            </w:tcBorders>
          </w:tcPr>
          <w:p w14:paraId="408F47F9" w14:textId="61DF573E" w:rsidR="00FD6AC7" w:rsidRPr="0071085D" w:rsidRDefault="00FD6AC7" w:rsidP="00601620">
            <w:pPr>
              <w:widowControl w:val="0"/>
              <w:spacing w:line="480" w:lineRule="auto"/>
              <w:rPr>
                <w:sz w:val="20"/>
                <w:szCs w:val="20"/>
                <w:lang w:val="en-CA"/>
              </w:rPr>
            </w:pPr>
            <w:r w:rsidRPr="0071085D">
              <w:rPr>
                <w:sz w:val="20"/>
                <w:szCs w:val="20"/>
                <w:lang w:val="en-CA"/>
              </w:rPr>
              <w:t>Impulsive sensation</w:t>
            </w:r>
            <w:r w:rsidR="00D12F81" w:rsidRPr="0071085D">
              <w:rPr>
                <w:sz w:val="20"/>
                <w:szCs w:val="20"/>
                <w:lang w:val="en-CA"/>
              </w:rPr>
              <w:t>-</w:t>
            </w:r>
            <w:r w:rsidRPr="0071085D">
              <w:rPr>
                <w:sz w:val="20"/>
                <w:szCs w:val="20"/>
                <w:lang w:val="en-CA"/>
              </w:rPr>
              <w:t>seeking [1-5]</w:t>
            </w:r>
          </w:p>
        </w:tc>
        <w:tc>
          <w:tcPr>
            <w:tcW w:w="1884" w:type="dxa"/>
            <w:gridSpan w:val="2"/>
            <w:tcBorders>
              <w:left w:val="nil"/>
              <w:bottom w:val="nil"/>
              <w:right w:val="nil"/>
            </w:tcBorders>
          </w:tcPr>
          <w:p w14:paraId="5C695975" w14:textId="2E7F76CE" w:rsidR="00FD6AC7" w:rsidRPr="0071085D" w:rsidRDefault="00FD6AC7" w:rsidP="00601620">
            <w:pPr>
              <w:widowControl w:val="0"/>
              <w:spacing w:line="480" w:lineRule="auto"/>
              <w:rPr>
                <w:sz w:val="20"/>
                <w:szCs w:val="20"/>
                <w:lang w:val="en-CA"/>
              </w:rPr>
            </w:pPr>
            <w:r w:rsidRPr="0071085D">
              <w:rPr>
                <w:sz w:val="20"/>
                <w:szCs w:val="20"/>
                <w:lang w:val="en-CA"/>
              </w:rPr>
              <w:t>2.67 (.83)</w:t>
            </w:r>
          </w:p>
        </w:tc>
        <w:tc>
          <w:tcPr>
            <w:tcW w:w="1289" w:type="dxa"/>
            <w:tcBorders>
              <w:left w:val="nil"/>
              <w:bottom w:val="nil"/>
              <w:right w:val="nil"/>
            </w:tcBorders>
          </w:tcPr>
          <w:p w14:paraId="354C2EEF" w14:textId="1783AB69" w:rsidR="00FD6AC7" w:rsidRPr="0071085D" w:rsidRDefault="000D1150" w:rsidP="00601620">
            <w:pPr>
              <w:widowControl w:val="0"/>
              <w:spacing w:line="480" w:lineRule="auto"/>
              <w:rPr>
                <w:sz w:val="20"/>
                <w:szCs w:val="20"/>
                <w:lang w:val="en-CA"/>
              </w:rPr>
            </w:pPr>
            <w:r w:rsidRPr="0071085D">
              <w:rPr>
                <w:sz w:val="20"/>
                <w:szCs w:val="20"/>
                <w:lang w:val="en-CA"/>
              </w:rPr>
              <w:t>2.40 (.09)</w:t>
            </w:r>
          </w:p>
        </w:tc>
        <w:tc>
          <w:tcPr>
            <w:tcW w:w="1414" w:type="dxa"/>
            <w:gridSpan w:val="2"/>
            <w:tcBorders>
              <w:left w:val="nil"/>
              <w:bottom w:val="nil"/>
              <w:right w:val="nil"/>
            </w:tcBorders>
          </w:tcPr>
          <w:p w14:paraId="1B8BC5D1" w14:textId="3E9531E5" w:rsidR="00FD6AC7" w:rsidRPr="0071085D" w:rsidRDefault="000D1150" w:rsidP="00601620">
            <w:pPr>
              <w:widowControl w:val="0"/>
              <w:spacing w:line="480" w:lineRule="auto"/>
              <w:rPr>
                <w:sz w:val="20"/>
                <w:szCs w:val="20"/>
                <w:lang w:val="en-CA"/>
              </w:rPr>
            </w:pPr>
            <w:r w:rsidRPr="0071085D">
              <w:rPr>
                <w:sz w:val="20"/>
                <w:szCs w:val="20"/>
                <w:lang w:val="en-CA"/>
              </w:rPr>
              <w:t>2.37 (.06)</w:t>
            </w:r>
          </w:p>
        </w:tc>
        <w:tc>
          <w:tcPr>
            <w:tcW w:w="1271" w:type="dxa"/>
            <w:tcBorders>
              <w:left w:val="nil"/>
              <w:bottom w:val="nil"/>
              <w:right w:val="nil"/>
            </w:tcBorders>
          </w:tcPr>
          <w:p w14:paraId="5C3092A7" w14:textId="05D606FF" w:rsidR="00FD6AC7" w:rsidRPr="0071085D" w:rsidRDefault="000D1150" w:rsidP="00601620">
            <w:pPr>
              <w:widowControl w:val="0"/>
              <w:spacing w:line="480" w:lineRule="auto"/>
              <w:rPr>
                <w:sz w:val="20"/>
                <w:szCs w:val="20"/>
                <w:lang w:val="en-CA"/>
              </w:rPr>
            </w:pPr>
            <w:r w:rsidRPr="0071085D">
              <w:rPr>
                <w:sz w:val="20"/>
                <w:szCs w:val="20"/>
                <w:lang w:val="en-CA"/>
              </w:rPr>
              <w:t>2.83 (.06)</w:t>
            </w:r>
          </w:p>
        </w:tc>
        <w:tc>
          <w:tcPr>
            <w:tcW w:w="1055" w:type="dxa"/>
            <w:tcBorders>
              <w:left w:val="nil"/>
              <w:bottom w:val="nil"/>
              <w:right w:val="nil"/>
            </w:tcBorders>
          </w:tcPr>
          <w:p w14:paraId="1655DFAF" w14:textId="1A499ECA" w:rsidR="00FD6AC7" w:rsidRPr="0071085D" w:rsidRDefault="000D1150" w:rsidP="00601620">
            <w:pPr>
              <w:widowControl w:val="0"/>
              <w:spacing w:line="480" w:lineRule="auto"/>
              <w:rPr>
                <w:sz w:val="20"/>
                <w:szCs w:val="20"/>
                <w:lang w:val="en-CA"/>
              </w:rPr>
            </w:pPr>
            <w:r w:rsidRPr="0071085D">
              <w:rPr>
                <w:sz w:val="20"/>
                <w:szCs w:val="20"/>
                <w:lang w:val="en-CA"/>
              </w:rPr>
              <w:t>3.47 (.13)</w:t>
            </w:r>
          </w:p>
        </w:tc>
      </w:tr>
      <w:tr w:rsidR="00FD6AC7" w:rsidRPr="0071085D" w14:paraId="11783DA6" w14:textId="7772E735" w:rsidTr="00BE7EF5">
        <w:trPr>
          <w:gridAfter w:val="1"/>
          <w:wAfter w:w="71" w:type="dxa"/>
          <w:trHeight w:val="454"/>
        </w:trPr>
        <w:tc>
          <w:tcPr>
            <w:tcW w:w="3582" w:type="dxa"/>
            <w:tcBorders>
              <w:top w:val="nil"/>
              <w:left w:val="nil"/>
              <w:bottom w:val="nil"/>
              <w:right w:val="nil"/>
            </w:tcBorders>
          </w:tcPr>
          <w:p w14:paraId="471D0036" w14:textId="66008A27" w:rsidR="00FD6AC7" w:rsidRPr="0071085D" w:rsidRDefault="00FD6AC7" w:rsidP="00601620">
            <w:pPr>
              <w:widowControl w:val="0"/>
              <w:spacing w:line="480" w:lineRule="auto"/>
              <w:rPr>
                <w:sz w:val="20"/>
                <w:szCs w:val="20"/>
                <w:lang w:val="en-CA"/>
              </w:rPr>
            </w:pPr>
            <w:r w:rsidRPr="0071085D">
              <w:rPr>
                <w:sz w:val="20"/>
                <w:szCs w:val="20"/>
                <w:lang w:val="en-CA"/>
              </w:rPr>
              <w:t>Self-esteem [1-4]</w:t>
            </w:r>
          </w:p>
        </w:tc>
        <w:tc>
          <w:tcPr>
            <w:tcW w:w="1884" w:type="dxa"/>
            <w:gridSpan w:val="2"/>
            <w:tcBorders>
              <w:top w:val="nil"/>
              <w:left w:val="nil"/>
              <w:bottom w:val="nil"/>
              <w:right w:val="nil"/>
            </w:tcBorders>
          </w:tcPr>
          <w:p w14:paraId="4D787956" w14:textId="3DC0DD73" w:rsidR="00FD6AC7" w:rsidRPr="0071085D" w:rsidRDefault="00FD6AC7" w:rsidP="00601620">
            <w:pPr>
              <w:widowControl w:val="0"/>
              <w:spacing w:line="480" w:lineRule="auto"/>
              <w:rPr>
                <w:sz w:val="20"/>
                <w:szCs w:val="20"/>
                <w:lang w:val="en-CA"/>
              </w:rPr>
            </w:pPr>
            <w:r w:rsidRPr="0071085D">
              <w:rPr>
                <w:sz w:val="20"/>
                <w:szCs w:val="20"/>
                <w:lang w:val="en-CA"/>
              </w:rPr>
              <w:t>3.00 (.58)</w:t>
            </w:r>
          </w:p>
        </w:tc>
        <w:tc>
          <w:tcPr>
            <w:tcW w:w="1289" w:type="dxa"/>
            <w:tcBorders>
              <w:top w:val="nil"/>
              <w:left w:val="nil"/>
              <w:bottom w:val="nil"/>
              <w:right w:val="nil"/>
            </w:tcBorders>
          </w:tcPr>
          <w:p w14:paraId="543AE095" w14:textId="155D7AE2" w:rsidR="00FD6AC7" w:rsidRPr="0071085D" w:rsidRDefault="000D1150" w:rsidP="00601620">
            <w:pPr>
              <w:widowControl w:val="0"/>
              <w:spacing w:line="480" w:lineRule="auto"/>
              <w:rPr>
                <w:sz w:val="20"/>
                <w:szCs w:val="20"/>
                <w:lang w:val="en-CA"/>
              </w:rPr>
            </w:pPr>
            <w:r w:rsidRPr="0071085D">
              <w:rPr>
                <w:sz w:val="20"/>
                <w:szCs w:val="20"/>
                <w:lang w:val="en-CA"/>
              </w:rPr>
              <w:t>2.99 (.07)</w:t>
            </w:r>
          </w:p>
        </w:tc>
        <w:tc>
          <w:tcPr>
            <w:tcW w:w="1414" w:type="dxa"/>
            <w:gridSpan w:val="2"/>
            <w:tcBorders>
              <w:top w:val="nil"/>
              <w:left w:val="nil"/>
              <w:bottom w:val="nil"/>
              <w:right w:val="nil"/>
            </w:tcBorders>
          </w:tcPr>
          <w:p w14:paraId="682A614F" w14:textId="382F26B8" w:rsidR="00FD6AC7" w:rsidRPr="0071085D" w:rsidRDefault="000D1150" w:rsidP="00601620">
            <w:pPr>
              <w:widowControl w:val="0"/>
              <w:spacing w:line="480" w:lineRule="auto"/>
              <w:rPr>
                <w:sz w:val="20"/>
                <w:szCs w:val="20"/>
                <w:lang w:val="en-CA"/>
              </w:rPr>
            </w:pPr>
            <w:r w:rsidRPr="0071085D">
              <w:rPr>
                <w:sz w:val="20"/>
                <w:szCs w:val="20"/>
                <w:lang w:val="en-CA"/>
              </w:rPr>
              <w:t>2.94 (.04)</w:t>
            </w:r>
          </w:p>
        </w:tc>
        <w:tc>
          <w:tcPr>
            <w:tcW w:w="1271" w:type="dxa"/>
            <w:tcBorders>
              <w:top w:val="nil"/>
              <w:left w:val="nil"/>
              <w:bottom w:val="nil"/>
              <w:right w:val="nil"/>
            </w:tcBorders>
          </w:tcPr>
          <w:p w14:paraId="3CE3FD46" w14:textId="3B33E850" w:rsidR="00FD6AC7" w:rsidRPr="0071085D" w:rsidRDefault="000D1150" w:rsidP="00601620">
            <w:pPr>
              <w:widowControl w:val="0"/>
              <w:spacing w:line="480" w:lineRule="auto"/>
              <w:rPr>
                <w:sz w:val="20"/>
                <w:szCs w:val="20"/>
                <w:lang w:val="en-CA"/>
              </w:rPr>
            </w:pPr>
            <w:r w:rsidRPr="0071085D">
              <w:rPr>
                <w:sz w:val="20"/>
                <w:szCs w:val="20"/>
                <w:lang w:val="en-CA"/>
              </w:rPr>
              <w:t>3.05 (.04)</w:t>
            </w:r>
          </w:p>
        </w:tc>
        <w:tc>
          <w:tcPr>
            <w:tcW w:w="1055" w:type="dxa"/>
            <w:tcBorders>
              <w:top w:val="nil"/>
              <w:left w:val="nil"/>
              <w:bottom w:val="nil"/>
              <w:right w:val="nil"/>
            </w:tcBorders>
          </w:tcPr>
          <w:p w14:paraId="0E1CC3A9" w14:textId="3DC57AB2" w:rsidR="00FD6AC7" w:rsidRPr="0071085D" w:rsidRDefault="000D1150" w:rsidP="00601620">
            <w:pPr>
              <w:widowControl w:val="0"/>
              <w:spacing w:line="480" w:lineRule="auto"/>
              <w:rPr>
                <w:sz w:val="20"/>
                <w:szCs w:val="20"/>
                <w:lang w:val="en-CA"/>
              </w:rPr>
            </w:pPr>
            <w:r w:rsidRPr="0071085D">
              <w:rPr>
                <w:sz w:val="20"/>
                <w:szCs w:val="20"/>
                <w:lang w:val="en-CA"/>
              </w:rPr>
              <w:t>2.99 (.10)</w:t>
            </w:r>
          </w:p>
        </w:tc>
      </w:tr>
      <w:tr w:rsidR="00FD6AC7" w:rsidRPr="0071085D" w14:paraId="27E137E9" w14:textId="008AD0FD" w:rsidTr="00BE7EF5">
        <w:trPr>
          <w:gridAfter w:val="1"/>
          <w:wAfter w:w="71" w:type="dxa"/>
          <w:trHeight w:val="111"/>
        </w:trPr>
        <w:tc>
          <w:tcPr>
            <w:tcW w:w="3582" w:type="dxa"/>
            <w:tcBorders>
              <w:top w:val="nil"/>
              <w:left w:val="nil"/>
              <w:bottom w:val="nil"/>
              <w:right w:val="nil"/>
            </w:tcBorders>
          </w:tcPr>
          <w:p w14:paraId="4CE1CD44" w14:textId="0CB0273E" w:rsidR="00FD6AC7" w:rsidRPr="0071085D" w:rsidRDefault="00FD6AC7" w:rsidP="00601620">
            <w:pPr>
              <w:widowControl w:val="0"/>
              <w:spacing w:line="480" w:lineRule="auto"/>
              <w:rPr>
                <w:sz w:val="20"/>
                <w:szCs w:val="20"/>
                <w:lang w:val="en-CA"/>
              </w:rPr>
            </w:pPr>
            <w:r w:rsidRPr="0071085D">
              <w:rPr>
                <w:sz w:val="20"/>
                <w:szCs w:val="20"/>
                <w:lang w:val="en-CA"/>
              </w:rPr>
              <w:t>Life satisfaction [1-7]</w:t>
            </w:r>
          </w:p>
        </w:tc>
        <w:tc>
          <w:tcPr>
            <w:tcW w:w="1884" w:type="dxa"/>
            <w:gridSpan w:val="2"/>
            <w:tcBorders>
              <w:top w:val="nil"/>
              <w:left w:val="nil"/>
              <w:bottom w:val="nil"/>
              <w:right w:val="nil"/>
            </w:tcBorders>
          </w:tcPr>
          <w:p w14:paraId="612C6DD9" w14:textId="5CDE221B" w:rsidR="00FD6AC7" w:rsidRPr="0071085D" w:rsidRDefault="00FD6AC7" w:rsidP="00601620">
            <w:pPr>
              <w:widowControl w:val="0"/>
              <w:spacing w:line="480" w:lineRule="auto"/>
              <w:rPr>
                <w:sz w:val="20"/>
                <w:szCs w:val="20"/>
                <w:lang w:val="en-CA"/>
              </w:rPr>
            </w:pPr>
            <w:r w:rsidRPr="0071085D">
              <w:rPr>
                <w:sz w:val="20"/>
                <w:szCs w:val="20"/>
                <w:lang w:val="en-CA"/>
              </w:rPr>
              <w:t>4.97 (1.19)</w:t>
            </w:r>
          </w:p>
        </w:tc>
        <w:tc>
          <w:tcPr>
            <w:tcW w:w="1289" w:type="dxa"/>
            <w:tcBorders>
              <w:top w:val="nil"/>
              <w:left w:val="nil"/>
              <w:bottom w:val="nil"/>
              <w:right w:val="nil"/>
            </w:tcBorders>
          </w:tcPr>
          <w:p w14:paraId="26CCFB29" w14:textId="1C9E0F5F" w:rsidR="00FD6AC7" w:rsidRPr="0071085D" w:rsidRDefault="000D1150" w:rsidP="00601620">
            <w:pPr>
              <w:widowControl w:val="0"/>
              <w:spacing w:line="480" w:lineRule="auto"/>
              <w:rPr>
                <w:sz w:val="20"/>
                <w:szCs w:val="20"/>
                <w:lang w:val="en-CA"/>
              </w:rPr>
            </w:pPr>
            <w:r w:rsidRPr="0071085D">
              <w:rPr>
                <w:sz w:val="20"/>
                <w:szCs w:val="20"/>
                <w:lang w:val="en-CA"/>
              </w:rPr>
              <w:t>4.75 (.14)</w:t>
            </w:r>
          </w:p>
        </w:tc>
        <w:tc>
          <w:tcPr>
            <w:tcW w:w="1414" w:type="dxa"/>
            <w:gridSpan w:val="2"/>
            <w:tcBorders>
              <w:top w:val="nil"/>
              <w:left w:val="nil"/>
              <w:bottom w:val="nil"/>
              <w:right w:val="nil"/>
            </w:tcBorders>
          </w:tcPr>
          <w:p w14:paraId="50FE2542" w14:textId="4EA7E9D0" w:rsidR="00FD6AC7" w:rsidRPr="0071085D" w:rsidRDefault="000D1150" w:rsidP="00601620">
            <w:pPr>
              <w:widowControl w:val="0"/>
              <w:spacing w:line="480" w:lineRule="auto"/>
              <w:rPr>
                <w:sz w:val="20"/>
                <w:szCs w:val="20"/>
                <w:lang w:val="en-CA"/>
              </w:rPr>
            </w:pPr>
            <w:r w:rsidRPr="0071085D">
              <w:rPr>
                <w:sz w:val="20"/>
                <w:szCs w:val="20"/>
                <w:lang w:val="en-CA"/>
              </w:rPr>
              <w:t>5.00 (.09)</w:t>
            </w:r>
          </w:p>
        </w:tc>
        <w:tc>
          <w:tcPr>
            <w:tcW w:w="1271" w:type="dxa"/>
            <w:tcBorders>
              <w:top w:val="nil"/>
              <w:left w:val="nil"/>
              <w:bottom w:val="nil"/>
              <w:right w:val="nil"/>
            </w:tcBorders>
          </w:tcPr>
          <w:p w14:paraId="40E8390B" w14:textId="5ACBE2B7" w:rsidR="00FD6AC7" w:rsidRPr="0071085D" w:rsidRDefault="000D1150" w:rsidP="00601620">
            <w:pPr>
              <w:widowControl w:val="0"/>
              <w:spacing w:line="480" w:lineRule="auto"/>
              <w:rPr>
                <w:sz w:val="20"/>
                <w:szCs w:val="20"/>
                <w:lang w:val="en-CA"/>
              </w:rPr>
            </w:pPr>
            <w:r w:rsidRPr="0071085D">
              <w:rPr>
                <w:sz w:val="20"/>
                <w:szCs w:val="20"/>
                <w:lang w:val="en-CA"/>
              </w:rPr>
              <w:t>5.13 (.08)</w:t>
            </w:r>
          </w:p>
        </w:tc>
        <w:tc>
          <w:tcPr>
            <w:tcW w:w="1055" w:type="dxa"/>
            <w:tcBorders>
              <w:top w:val="nil"/>
              <w:left w:val="nil"/>
              <w:bottom w:val="nil"/>
              <w:right w:val="nil"/>
            </w:tcBorders>
          </w:tcPr>
          <w:p w14:paraId="68801BED" w14:textId="5AC57DEA" w:rsidR="00FD6AC7" w:rsidRPr="0071085D" w:rsidRDefault="000D1150" w:rsidP="00601620">
            <w:pPr>
              <w:widowControl w:val="0"/>
              <w:spacing w:line="480" w:lineRule="auto"/>
              <w:rPr>
                <w:sz w:val="20"/>
                <w:szCs w:val="20"/>
                <w:lang w:val="en-CA"/>
              </w:rPr>
            </w:pPr>
            <w:r w:rsidRPr="0071085D">
              <w:rPr>
                <w:sz w:val="20"/>
                <w:szCs w:val="20"/>
                <w:lang w:val="en-CA"/>
              </w:rPr>
              <w:t>4.53 (.21)</w:t>
            </w:r>
          </w:p>
        </w:tc>
      </w:tr>
      <w:tr w:rsidR="00FD6AC7" w:rsidRPr="0071085D" w14:paraId="2BA640DD" w14:textId="15BC3EC6" w:rsidTr="00BE7EF5">
        <w:trPr>
          <w:gridAfter w:val="1"/>
          <w:wAfter w:w="71" w:type="dxa"/>
          <w:trHeight w:val="454"/>
        </w:trPr>
        <w:tc>
          <w:tcPr>
            <w:tcW w:w="3582" w:type="dxa"/>
            <w:tcBorders>
              <w:top w:val="nil"/>
              <w:left w:val="nil"/>
              <w:bottom w:val="single" w:sz="4" w:space="0" w:color="auto"/>
              <w:right w:val="nil"/>
            </w:tcBorders>
          </w:tcPr>
          <w:p w14:paraId="062AA21E" w14:textId="029B6246" w:rsidR="00FD6AC7" w:rsidRPr="0071085D" w:rsidRDefault="00FD6AC7" w:rsidP="00601620">
            <w:pPr>
              <w:widowControl w:val="0"/>
              <w:spacing w:line="480" w:lineRule="auto"/>
              <w:rPr>
                <w:sz w:val="20"/>
                <w:szCs w:val="20"/>
                <w:lang w:val="en-CA"/>
              </w:rPr>
            </w:pPr>
            <w:r w:rsidRPr="0071085D">
              <w:rPr>
                <w:sz w:val="20"/>
                <w:szCs w:val="20"/>
                <w:lang w:val="en-CA"/>
              </w:rPr>
              <w:t>Social desirability [1-5]</w:t>
            </w:r>
          </w:p>
        </w:tc>
        <w:tc>
          <w:tcPr>
            <w:tcW w:w="1884" w:type="dxa"/>
            <w:gridSpan w:val="2"/>
            <w:tcBorders>
              <w:top w:val="nil"/>
              <w:left w:val="nil"/>
              <w:bottom w:val="single" w:sz="4" w:space="0" w:color="auto"/>
              <w:right w:val="nil"/>
            </w:tcBorders>
          </w:tcPr>
          <w:p w14:paraId="2A754C18" w14:textId="18F582D3" w:rsidR="00FD6AC7" w:rsidRPr="0071085D" w:rsidRDefault="00FD6AC7" w:rsidP="00601620">
            <w:pPr>
              <w:widowControl w:val="0"/>
              <w:spacing w:line="480" w:lineRule="auto"/>
              <w:rPr>
                <w:sz w:val="20"/>
                <w:szCs w:val="20"/>
                <w:lang w:val="en-CA"/>
              </w:rPr>
            </w:pPr>
            <w:r w:rsidRPr="0071085D">
              <w:rPr>
                <w:sz w:val="20"/>
                <w:szCs w:val="20"/>
                <w:lang w:val="en-CA"/>
              </w:rPr>
              <w:t>3.59 (.47)</w:t>
            </w:r>
          </w:p>
        </w:tc>
        <w:tc>
          <w:tcPr>
            <w:tcW w:w="1289" w:type="dxa"/>
            <w:tcBorders>
              <w:top w:val="nil"/>
              <w:left w:val="nil"/>
              <w:bottom w:val="single" w:sz="4" w:space="0" w:color="auto"/>
              <w:right w:val="nil"/>
            </w:tcBorders>
          </w:tcPr>
          <w:p w14:paraId="037BBE4A" w14:textId="70BD1A11" w:rsidR="00FD6AC7" w:rsidRPr="0071085D" w:rsidRDefault="000D1150" w:rsidP="00601620">
            <w:pPr>
              <w:widowControl w:val="0"/>
              <w:spacing w:line="480" w:lineRule="auto"/>
              <w:rPr>
                <w:sz w:val="20"/>
                <w:szCs w:val="20"/>
                <w:lang w:val="en-CA"/>
              </w:rPr>
            </w:pPr>
            <w:r w:rsidRPr="0071085D">
              <w:rPr>
                <w:sz w:val="20"/>
                <w:szCs w:val="20"/>
                <w:lang w:val="en-CA"/>
              </w:rPr>
              <w:t>3.53 (.05)</w:t>
            </w:r>
          </w:p>
        </w:tc>
        <w:tc>
          <w:tcPr>
            <w:tcW w:w="1039" w:type="dxa"/>
            <w:tcBorders>
              <w:top w:val="nil"/>
              <w:left w:val="nil"/>
              <w:bottom w:val="single" w:sz="4" w:space="0" w:color="auto"/>
              <w:right w:val="nil"/>
            </w:tcBorders>
          </w:tcPr>
          <w:p w14:paraId="553D1EAD" w14:textId="585A74D5" w:rsidR="00FD6AC7" w:rsidRPr="0071085D" w:rsidRDefault="000D1150" w:rsidP="00601620">
            <w:pPr>
              <w:widowControl w:val="0"/>
              <w:spacing w:line="480" w:lineRule="auto"/>
              <w:rPr>
                <w:sz w:val="20"/>
                <w:szCs w:val="20"/>
                <w:lang w:val="en-CA"/>
              </w:rPr>
            </w:pPr>
            <w:r w:rsidRPr="0071085D">
              <w:rPr>
                <w:sz w:val="20"/>
                <w:szCs w:val="20"/>
                <w:lang w:val="en-CA"/>
              </w:rPr>
              <w:t>3.62 (.04)</w:t>
            </w:r>
          </w:p>
        </w:tc>
        <w:tc>
          <w:tcPr>
            <w:tcW w:w="1646" w:type="dxa"/>
            <w:gridSpan w:val="2"/>
            <w:tcBorders>
              <w:top w:val="nil"/>
              <w:left w:val="nil"/>
              <w:bottom w:val="single" w:sz="4" w:space="0" w:color="auto"/>
              <w:right w:val="nil"/>
            </w:tcBorders>
          </w:tcPr>
          <w:p w14:paraId="24CEC69D" w14:textId="15EAF182" w:rsidR="00FD6AC7" w:rsidRPr="0071085D" w:rsidRDefault="000D1150" w:rsidP="00601620">
            <w:pPr>
              <w:widowControl w:val="0"/>
              <w:spacing w:line="480" w:lineRule="auto"/>
              <w:jc w:val="center"/>
              <w:rPr>
                <w:sz w:val="20"/>
                <w:szCs w:val="20"/>
                <w:lang w:val="en-CA"/>
              </w:rPr>
            </w:pPr>
            <w:r w:rsidRPr="0071085D">
              <w:rPr>
                <w:sz w:val="20"/>
                <w:szCs w:val="20"/>
                <w:lang w:val="en-CA"/>
              </w:rPr>
              <w:t>3.61 (.03)</w:t>
            </w:r>
          </w:p>
        </w:tc>
        <w:tc>
          <w:tcPr>
            <w:tcW w:w="1055" w:type="dxa"/>
            <w:tcBorders>
              <w:top w:val="nil"/>
              <w:left w:val="nil"/>
              <w:bottom w:val="single" w:sz="4" w:space="0" w:color="auto"/>
              <w:right w:val="nil"/>
            </w:tcBorders>
          </w:tcPr>
          <w:p w14:paraId="71C0F18B" w14:textId="3804B80D" w:rsidR="00FD6AC7" w:rsidRPr="0071085D" w:rsidRDefault="000D1150" w:rsidP="00601620">
            <w:pPr>
              <w:widowControl w:val="0"/>
              <w:spacing w:line="480" w:lineRule="auto"/>
              <w:rPr>
                <w:sz w:val="20"/>
                <w:szCs w:val="20"/>
                <w:lang w:val="en-CA"/>
              </w:rPr>
            </w:pPr>
            <w:r w:rsidRPr="0071085D">
              <w:rPr>
                <w:sz w:val="20"/>
                <w:szCs w:val="20"/>
                <w:lang w:val="en-CA"/>
              </w:rPr>
              <w:t>3.44 (.08)</w:t>
            </w:r>
          </w:p>
        </w:tc>
      </w:tr>
    </w:tbl>
    <w:p w14:paraId="66FD43DB" w14:textId="77777777" w:rsidR="00F22341" w:rsidRPr="0071085D" w:rsidRDefault="00F22341" w:rsidP="00601620">
      <w:pPr>
        <w:widowControl w:val="0"/>
        <w:spacing w:after="0" w:line="480" w:lineRule="auto"/>
        <w:ind w:left="-426"/>
        <w:rPr>
          <w:i/>
          <w:sz w:val="20"/>
          <w:szCs w:val="20"/>
          <w:lang w:val="en-CA"/>
        </w:rPr>
      </w:pPr>
    </w:p>
    <w:p w14:paraId="51A5ED77" w14:textId="1C6B99F0" w:rsidR="00E56570" w:rsidRPr="0071085D" w:rsidRDefault="00E56570" w:rsidP="00601620">
      <w:pPr>
        <w:widowControl w:val="0"/>
        <w:spacing w:after="0" w:line="480" w:lineRule="auto"/>
        <w:ind w:left="-426"/>
        <w:rPr>
          <w:i/>
          <w:sz w:val="20"/>
          <w:szCs w:val="20"/>
          <w:lang w:val="en-CA"/>
        </w:rPr>
        <w:sectPr w:rsidR="00E56570" w:rsidRPr="0071085D" w:rsidSect="00E56570">
          <w:headerReference w:type="first" r:id="rId10"/>
          <w:pgSz w:w="12240" w:h="15840"/>
          <w:pgMar w:top="1440" w:right="1440" w:bottom="1440" w:left="1440" w:header="709" w:footer="709" w:gutter="0"/>
          <w:cols w:space="708"/>
          <w:docGrid w:linePitch="360"/>
        </w:sectPr>
      </w:pPr>
      <w:r w:rsidRPr="0071085D">
        <w:rPr>
          <w:i/>
          <w:sz w:val="20"/>
          <w:szCs w:val="20"/>
          <w:lang w:val="en-CA"/>
        </w:rPr>
        <w:t>Note</w:t>
      </w:r>
      <w:r w:rsidRPr="0071085D">
        <w:rPr>
          <w:sz w:val="20"/>
          <w:szCs w:val="20"/>
          <w:lang w:val="en-CA"/>
        </w:rPr>
        <w:t xml:space="preserve">. </w:t>
      </w:r>
      <w:r w:rsidRPr="0071085D">
        <w:rPr>
          <w:sz w:val="20"/>
          <w:szCs w:val="20"/>
          <w:vertAlign w:val="superscript"/>
          <w:lang w:val="en-CA"/>
        </w:rPr>
        <w:t xml:space="preserve">a </w:t>
      </w:r>
      <w:r w:rsidRPr="0071085D">
        <w:rPr>
          <w:sz w:val="20"/>
          <w:szCs w:val="20"/>
          <w:lang w:val="en-CA"/>
        </w:rPr>
        <w:t xml:space="preserve">0=male, 1=female. </w:t>
      </w:r>
      <w:r w:rsidRPr="0071085D">
        <w:rPr>
          <w:sz w:val="20"/>
          <w:szCs w:val="20"/>
          <w:vertAlign w:val="superscript"/>
          <w:lang w:val="en-CA"/>
        </w:rPr>
        <w:t>b</w:t>
      </w:r>
      <w:r w:rsidRPr="0071085D">
        <w:rPr>
          <w:sz w:val="20"/>
          <w:szCs w:val="20"/>
          <w:lang w:val="en-CA"/>
        </w:rPr>
        <w:t xml:space="preserve"> 0=Born in Canada, 1=born elsewhere. </w:t>
      </w:r>
      <w:r w:rsidRPr="0071085D">
        <w:rPr>
          <w:sz w:val="20"/>
          <w:szCs w:val="20"/>
          <w:vertAlign w:val="superscript"/>
          <w:lang w:val="en-CA"/>
        </w:rPr>
        <w:t xml:space="preserve">c </w:t>
      </w:r>
      <w:r w:rsidRPr="0071085D">
        <w:rPr>
          <w:sz w:val="20"/>
          <w:szCs w:val="20"/>
          <w:lang w:val="en-CA"/>
        </w:rPr>
        <w:t xml:space="preserve">No religious affiliation, 1=religious affiliation. </w:t>
      </w:r>
      <w:r w:rsidRPr="0071085D">
        <w:rPr>
          <w:sz w:val="20"/>
          <w:szCs w:val="20"/>
          <w:vertAlign w:val="superscript"/>
          <w:lang w:val="en-CA"/>
        </w:rPr>
        <w:t>d</w:t>
      </w:r>
      <w:r w:rsidRPr="0071085D">
        <w:rPr>
          <w:sz w:val="20"/>
          <w:szCs w:val="20"/>
          <w:lang w:val="en-CA"/>
        </w:rPr>
        <w:t xml:space="preserve"> 0=No religious practice (last year), 1=religion practiced at least once (last year). </w:t>
      </w:r>
      <w:r w:rsidRPr="0071085D">
        <w:rPr>
          <w:sz w:val="20"/>
          <w:szCs w:val="20"/>
          <w:vertAlign w:val="superscript"/>
          <w:lang w:val="en-CA"/>
        </w:rPr>
        <w:t>e</w:t>
      </w:r>
      <w:r w:rsidRPr="0071085D">
        <w:rPr>
          <w:sz w:val="20"/>
          <w:szCs w:val="20"/>
          <w:lang w:val="en-CA"/>
        </w:rPr>
        <w:t xml:space="preserve"> 0=high school grad or less, 1=college or university grad. </w:t>
      </w:r>
      <w:r w:rsidRPr="0071085D">
        <w:rPr>
          <w:sz w:val="20"/>
          <w:szCs w:val="20"/>
          <w:vertAlign w:val="superscript"/>
          <w:lang w:val="en-CA"/>
        </w:rPr>
        <w:t>f</w:t>
      </w:r>
      <w:r w:rsidRPr="0071085D">
        <w:rPr>
          <w:sz w:val="20"/>
          <w:szCs w:val="20"/>
          <w:lang w:val="en-CA"/>
        </w:rPr>
        <w:t xml:space="preserve"> 0=single, 1=in a relationship/married.</w:t>
      </w:r>
    </w:p>
    <w:p w14:paraId="1C2A39A4" w14:textId="0561DA2F" w:rsidR="00167986" w:rsidRPr="0071085D" w:rsidRDefault="00167986" w:rsidP="00601620">
      <w:pPr>
        <w:widowControl w:val="0"/>
        <w:spacing w:after="0" w:line="480" w:lineRule="auto"/>
        <w:contextualSpacing/>
        <w:rPr>
          <w:i/>
          <w:sz w:val="20"/>
          <w:szCs w:val="20"/>
          <w:lang w:val="en-CA"/>
        </w:rPr>
      </w:pPr>
      <w:r w:rsidRPr="0071085D">
        <w:rPr>
          <w:i/>
          <w:sz w:val="20"/>
          <w:szCs w:val="20"/>
          <w:lang w:val="en-CA"/>
        </w:rPr>
        <w:lastRenderedPageBreak/>
        <w:t xml:space="preserve">Table </w:t>
      </w:r>
      <w:r w:rsidR="00C803E2" w:rsidRPr="0071085D">
        <w:rPr>
          <w:i/>
          <w:sz w:val="20"/>
          <w:szCs w:val="20"/>
          <w:lang w:val="en-CA"/>
        </w:rPr>
        <w:t>2</w:t>
      </w:r>
    </w:p>
    <w:p w14:paraId="437B2D14" w14:textId="68DE3CD0" w:rsidR="00167986" w:rsidRPr="0071085D" w:rsidRDefault="00167986" w:rsidP="00601620">
      <w:pPr>
        <w:widowControl w:val="0"/>
        <w:spacing w:after="0" w:line="480" w:lineRule="auto"/>
        <w:contextualSpacing/>
        <w:rPr>
          <w:i/>
          <w:sz w:val="20"/>
          <w:szCs w:val="20"/>
          <w:lang w:val="en-CA"/>
        </w:rPr>
      </w:pPr>
      <w:r w:rsidRPr="0071085D">
        <w:rPr>
          <w:i/>
          <w:sz w:val="20"/>
          <w:szCs w:val="20"/>
          <w:lang w:val="en-CA"/>
        </w:rPr>
        <w:t xml:space="preserve">Comparisons of </w:t>
      </w:r>
      <w:r w:rsidR="00AE6A3B" w:rsidRPr="0071085D">
        <w:rPr>
          <w:i/>
          <w:sz w:val="20"/>
          <w:szCs w:val="20"/>
          <w:lang w:val="en-CA"/>
        </w:rPr>
        <w:t>F</w:t>
      </w:r>
      <w:r w:rsidRPr="0071085D">
        <w:rPr>
          <w:i/>
          <w:sz w:val="20"/>
          <w:szCs w:val="20"/>
          <w:lang w:val="en-CA"/>
        </w:rPr>
        <w:t xml:space="preserve">it </w:t>
      </w:r>
      <w:r w:rsidR="00AE6A3B" w:rsidRPr="0071085D">
        <w:rPr>
          <w:i/>
          <w:sz w:val="20"/>
          <w:szCs w:val="20"/>
          <w:lang w:val="en-CA"/>
        </w:rPr>
        <w:t>I</w:t>
      </w:r>
      <w:r w:rsidRPr="0071085D">
        <w:rPr>
          <w:i/>
          <w:sz w:val="20"/>
          <w:szCs w:val="20"/>
          <w:lang w:val="en-CA"/>
        </w:rPr>
        <w:t xml:space="preserve">ndices for </w:t>
      </w:r>
      <w:r w:rsidR="00AE6A3B" w:rsidRPr="0071085D">
        <w:rPr>
          <w:i/>
          <w:sz w:val="20"/>
          <w:szCs w:val="20"/>
          <w:lang w:val="en-CA"/>
        </w:rPr>
        <w:t>I</w:t>
      </w:r>
      <w:r w:rsidRPr="0071085D">
        <w:rPr>
          <w:i/>
          <w:sz w:val="20"/>
          <w:szCs w:val="20"/>
          <w:lang w:val="en-CA"/>
        </w:rPr>
        <w:t>terat</w:t>
      </w:r>
      <w:r w:rsidR="00E229EC" w:rsidRPr="0071085D">
        <w:rPr>
          <w:i/>
          <w:sz w:val="20"/>
          <w:szCs w:val="20"/>
          <w:lang w:val="en-CA"/>
        </w:rPr>
        <w:t xml:space="preserve">ive </w:t>
      </w:r>
      <w:r w:rsidR="00AE6A3B" w:rsidRPr="0071085D">
        <w:rPr>
          <w:i/>
          <w:sz w:val="20"/>
          <w:szCs w:val="20"/>
          <w:lang w:val="en-CA"/>
        </w:rPr>
        <w:t>L</w:t>
      </w:r>
      <w:r w:rsidR="00E229EC" w:rsidRPr="0071085D">
        <w:rPr>
          <w:i/>
          <w:sz w:val="20"/>
          <w:szCs w:val="20"/>
          <w:lang w:val="en-CA"/>
        </w:rPr>
        <w:t xml:space="preserve">atent </w:t>
      </w:r>
      <w:r w:rsidR="00AE6A3B" w:rsidRPr="0071085D">
        <w:rPr>
          <w:i/>
          <w:sz w:val="20"/>
          <w:szCs w:val="20"/>
          <w:lang w:val="en-CA"/>
        </w:rPr>
        <w:t>C</w:t>
      </w:r>
      <w:r w:rsidR="00E229EC" w:rsidRPr="0071085D">
        <w:rPr>
          <w:i/>
          <w:sz w:val="20"/>
          <w:szCs w:val="20"/>
          <w:lang w:val="en-CA"/>
        </w:rPr>
        <w:t xml:space="preserve">lass </w:t>
      </w:r>
      <w:r w:rsidR="00AE6A3B" w:rsidRPr="0071085D">
        <w:rPr>
          <w:i/>
          <w:sz w:val="20"/>
          <w:szCs w:val="20"/>
          <w:lang w:val="en-CA"/>
        </w:rPr>
        <w:t>M</w:t>
      </w:r>
      <w:r w:rsidR="00E229EC" w:rsidRPr="0071085D">
        <w:rPr>
          <w:i/>
          <w:sz w:val="20"/>
          <w:szCs w:val="20"/>
          <w:lang w:val="en-CA"/>
        </w:rPr>
        <w:t>odels (N = </w:t>
      </w:r>
      <w:r w:rsidRPr="0071085D">
        <w:rPr>
          <w:i/>
          <w:sz w:val="20"/>
          <w:szCs w:val="20"/>
          <w:lang w:val="en-CA"/>
        </w:rPr>
        <w:t>602)</w:t>
      </w:r>
    </w:p>
    <w:tbl>
      <w:tblPr>
        <w:tblStyle w:val="Grilledutableau"/>
        <w:tblW w:w="13609" w:type="dxa"/>
        <w:tblInd w:w="-426" w:type="dxa"/>
        <w:tblLayout w:type="fixed"/>
        <w:tblLook w:val="04A0" w:firstRow="1" w:lastRow="0" w:firstColumn="1" w:lastColumn="0" w:noHBand="0" w:noVBand="1"/>
      </w:tblPr>
      <w:tblGrid>
        <w:gridCol w:w="993"/>
        <w:gridCol w:w="1310"/>
        <w:gridCol w:w="1099"/>
        <w:gridCol w:w="1197"/>
        <w:gridCol w:w="1400"/>
        <w:gridCol w:w="1231"/>
        <w:gridCol w:w="993"/>
        <w:gridCol w:w="2126"/>
        <w:gridCol w:w="1984"/>
        <w:gridCol w:w="1276"/>
      </w:tblGrid>
      <w:tr w:rsidR="00521BD9" w:rsidRPr="0071085D" w14:paraId="39B3F85E" w14:textId="4D42480B" w:rsidTr="00F22341">
        <w:trPr>
          <w:trHeight w:val="731"/>
        </w:trPr>
        <w:tc>
          <w:tcPr>
            <w:tcW w:w="993" w:type="dxa"/>
            <w:tcBorders>
              <w:left w:val="nil"/>
              <w:bottom w:val="single" w:sz="4" w:space="0" w:color="auto"/>
              <w:right w:val="nil"/>
            </w:tcBorders>
          </w:tcPr>
          <w:p w14:paraId="677D4150" w14:textId="77777777" w:rsidR="008A5ED0" w:rsidRPr="0071085D" w:rsidRDefault="008A5ED0" w:rsidP="00601620">
            <w:pPr>
              <w:widowControl w:val="0"/>
              <w:spacing w:line="480" w:lineRule="auto"/>
              <w:rPr>
                <w:sz w:val="20"/>
                <w:szCs w:val="20"/>
                <w:lang w:val="en-CA"/>
              </w:rPr>
            </w:pPr>
          </w:p>
        </w:tc>
        <w:tc>
          <w:tcPr>
            <w:tcW w:w="1310" w:type="dxa"/>
            <w:tcBorders>
              <w:left w:val="nil"/>
              <w:bottom w:val="single" w:sz="4" w:space="0" w:color="auto"/>
              <w:right w:val="nil"/>
            </w:tcBorders>
          </w:tcPr>
          <w:p w14:paraId="4B3F8D3A" w14:textId="77777777" w:rsidR="008A5ED0" w:rsidRPr="0071085D" w:rsidRDefault="008A5ED0" w:rsidP="00601620">
            <w:pPr>
              <w:widowControl w:val="0"/>
              <w:spacing w:line="480" w:lineRule="auto"/>
              <w:rPr>
                <w:sz w:val="20"/>
                <w:szCs w:val="20"/>
                <w:lang w:val="en-CA"/>
              </w:rPr>
            </w:pPr>
            <w:r w:rsidRPr="0071085D">
              <w:rPr>
                <w:sz w:val="20"/>
                <w:szCs w:val="20"/>
                <w:lang w:val="en-CA"/>
              </w:rPr>
              <w:t xml:space="preserve">Maximum loglikelihood </w:t>
            </w:r>
          </w:p>
        </w:tc>
        <w:tc>
          <w:tcPr>
            <w:tcW w:w="1099" w:type="dxa"/>
            <w:tcBorders>
              <w:left w:val="nil"/>
              <w:bottom w:val="single" w:sz="4" w:space="0" w:color="auto"/>
              <w:right w:val="nil"/>
            </w:tcBorders>
          </w:tcPr>
          <w:p w14:paraId="6019CAE0" w14:textId="77777777" w:rsidR="008A5ED0" w:rsidRPr="0071085D" w:rsidRDefault="008A5ED0" w:rsidP="00601620">
            <w:pPr>
              <w:widowControl w:val="0"/>
              <w:spacing w:line="480" w:lineRule="auto"/>
              <w:rPr>
                <w:sz w:val="20"/>
                <w:szCs w:val="20"/>
                <w:lang w:val="en-CA"/>
              </w:rPr>
            </w:pPr>
            <w:r w:rsidRPr="0071085D">
              <w:rPr>
                <w:sz w:val="20"/>
                <w:szCs w:val="20"/>
                <w:lang w:val="en-CA"/>
              </w:rPr>
              <w:t>BIC</w:t>
            </w:r>
          </w:p>
        </w:tc>
        <w:tc>
          <w:tcPr>
            <w:tcW w:w="1197" w:type="dxa"/>
            <w:tcBorders>
              <w:left w:val="nil"/>
              <w:bottom w:val="single" w:sz="4" w:space="0" w:color="auto"/>
              <w:right w:val="nil"/>
            </w:tcBorders>
          </w:tcPr>
          <w:p w14:paraId="5888E74A" w14:textId="77777777" w:rsidR="008A5ED0" w:rsidRPr="0071085D" w:rsidRDefault="008A5ED0" w:rsidP="00601620">
            <w:pPr>
              <w:widowControl w:val="0"/>
              <w:spacing w:line="480" w:lineRule="auto"/>
              <w:rPr>
                <w:sz w:val="20"/>
                <w:szCs w:val="20"/>
                <w:lang w:val="en-CA"/>
              </w:rPr>
            </w:pPr>
            <w:r w:rsidRPr="0071085D">
              <w:rPr>
                <w:sz w:val="20"/>
                <w:szCs w:val="20"/>
                <w:lang w:val="en-CA"/>
              </w:rPr>
              <w:t>BIC-adjusted</w:t>
            </w:r>
          </w:p>
        </w:tc>
        <w:tc>
          <w:tcPr>
            <w:tcW w:w="1400" w:type="dxa"/>
            <w:tcBorders>
              <w:left w:val="nil"/>
              <w:bottom w:val="single" w:sz="4" w:space="0" w:color="auto"/>
              <w:right w:val="nil"/>
            </w:tcBorders>
          </w:tcPr>
          <w:p w14:paraId="171DDBA6" w14:textId="77777777" w:rsidR="008A5ED0" w:rsidRPr="0071085D" w:rsidRDefault="008A5ED0" w:rsidP="00601620">
            <w:pPr>
              <w:widowControl w:val="0"/>
              <w:spacing w:line="480" w:lineRule="auto"/>
              <w:rPr>
                <w:sz w:val="20"/>
                <w:szCs w:val="20"/>
                <w:lang w:val="en-CA"/>
              </w:rPr>
            </w:pPr>
            <w:r w:rsidRPr="0071085D">
              <w:rPr>
                <w:sz w:val="20"/>
                <w:szCs w:val="20"/>
                <w:lang w:val="en-CA"/>
              </w:rPr>
              <w:t>LMR-LRT (</w:t>
            </w:r>
            <w:r w:rsidRPr="0071085D">
              <w:rPr>
                <w:i/>
                <w:sz w:val="20"/>
                <w:szCs w:val="20"/>
                <w:lang w:val="en-CA"/>
              </w:rPr>
              <w:t>p</w:t>
            </w:r>
            <w:r w:rsidRPr="0071085D">
              <w:rPr>
                <w:sz w:val="20"/>
                <w:szCs w:val="20"/>
                <w:lang w:val="en-CA"/>
              </w:rPr>
              <w:t>)</w:t>
            </w:r>
          </w:p>
        </w:tc>
        <w:tc>
          <w:tcPr>
            <w:tcW w:w="1231" w:type="dxa"/>
            <w:tcBorders>
              <w:left w:val="nil"/>
              <w:bottom w:val="single" w:sz="4" w:space="0" w:color="auto"/>
              <w:right w:val="nil"/>
            </w:tcBorders>
          </w:tcPr>
          <w:p w14:paraId="6F803A01" w14:textId="77777777" w:rsidR="008A5ED0" w:rsidRPr="0071085D" w:rsidRDefault="008A5ED0" w:rsidP="00601620">
            <w:pPr>
              <w:widowControl w:val="0"/>
              <w:spacing w:line="480" w:lineRule="auto"/>
              <w:rPr>
                <w:sz w:val="20"/>
                <w:szCs w:val="20"/>
                <w:lang w:val="en-CA"/>
              </w:rPr>
            </w:pPr>
            <w:r w:rsidRPr="0071085D">
              <w:rPr>
                <w:sz w:val="20"/>
                <w:szCs w:val="20"/>
                <w:lang w:val="en-CA"/>
              </w:rPr>
              <w:t>BLRT (</w:t>
            </w:r>
            <w:r w:rsidRPr="0071085D">
              <w:rPr>
                <w:i/>
                <w:sz w:val="20"/>
                <w:szCs w:val="20"/>
                <w:lang w:val="en-CA"/>
              </w:rPr>
              <w:t>p</w:t>
            </w:r>
            <w:r w:rsidRPr="0071085D">
              <w:rPr>
                <w:sz w:val="20"/>
                <w:szCs w:val="20"/>
                <w:lang w:val="en-CA"/>
              </w:rPr>
              <w:t xml:space="preserve">) </w:t>
            </w:r>
          </w:p>
        </w:tc>
        <w:tc>
          <w:tcPr>
            <w:tcW w:w="993" w:type="dxa"/>
            <w:tcBorders>
              <w:left w:val="nil"/>
              <w:bottom w:val="single" w:sz="4" w:space="0" w:color="auto"/>
              <w:right w:val="nil"/>
            </w:tcBorders>
          </w:tcPr>
          <w:p w14:paraId="253E3C3D" w14:textId="77777777" w:rsidR="008A5ED0" w:rsidRPr="0071085D" w:rsidRDefault="008A5ED0" w:rsidP="00601620">
            <w:pPr>
              <w:widowControl w:val="0"/>
              <w:spacing w:line="480" w:lineRule="auto"/>
              <w:rPr>
                <w:sz w:val="20"/>
                <w:szCs w:val="20"/>
                <w:lang w:val="en-CA"/>
              </w:rPr>
            </w:pPr>
            <w:r w:rsidRPr="0071085D">
              <w:rPr>
                <w:sz w:val="20"/>
                <w:szCs w:val="20"/>
                <w:lang w:val="en-CA"/>
              </w:rPr>
              <w:t>Entropy</w:t>
            </w:r>
          </w:p>
        </w:tc>
        <w:tc>
          <w:tcPr>
            <w:tcW w:w="2126" w:type="dxa"/>
            <w:tcBorders>
              <w:left w:val="nil"/>
              <w:bottom w:val="single" w:sz="4" w:space="0" w:color="auto"/>
              <w:right w:val="nil"/>
            </w:tcBorders>
          </w:tcPr>
          <w:p w14:paraId="5F99BE02" w14:textId="577E91B8" w:rsidR="008A5ED0" w:rsidRPr="0071085D" w:rsidRDefault="008A5ED0" w:rsidP="00601620">
            <w:pPr>
              <w:widowControl w:val="0"/>
              <w:spacing w:line="480" w:lineRule="auto"/>
              <w:rPr>
                <w:sz w:val="20"/>
                <w:szCs w:val="20"/>
                <w:lang w:val="en-CA"/>
              </w:rPr>
            </w:pPr>
            <w:r w:rsidRPr="0071085D">
              <w:rPr>
                <w:sz w:val="20"/>
                <w:szCs w:val="20"/>
                <w:lang w:val="en-CA"/>
              </w:rPr>
              <w:t>Mean class assignment probabilities</w:t>
            </w:r>
          </w:p>
        </w:tc>
        <w:tc>
          <w:tcPr>
            <w:tcW w:w="1984" w:type="dxa"/>
            <w:tcBorders>
              <w:left w:val="nil"/>
              <w:bottom w:val="single" w:sz="4" w:space="0" w:color="auto"/>
              <w:right w:val="nil"/>
            </w:tcBorders>
          </w:tcPr>
          <w:p w14:paraId="281B485E" w14:textId="77777777" w:rsidR="008A5ED0" w:rsidRPr="0071085D" w:rsidRDefault="008A5ED0" w:rsidP="00601620">
            <w:pPr>
              <w:widowControl w:val="0"/>
              <w:spacing w:line="480" w:lineRule="auto"/>
              <w:rPr>
                <w:sz w:val="20"/>
                <w:szCs w:val="20"/>
                <w:lang w:val="en-CA"/>
              </w:rPr>
            </w:pPr>
            <w:r w:rsidRPr="0071085D">
              <w:rPr>
                <w:sz w:val="20"/>
                <w:szCs w:val="20"/>
                <w:lang w:val="en-CA"/>
              </w:rPr>
              <w:t>Class sizes</w:t>
            </w:r>
          </w:p>
        </w:tc>
        <w:tc>
          <w:tcPr>
            <w:tcW w:w="1276" w:type="dxa"/>
            <w:tcBorders>
              <w:left w:val="nil"/>
              <w:bottom w:val="single" w:sz="4" w:space="0" w:color="auto"/>
              <w:right w:val="nil"/>
            </w:tcBorders>
          </w:tcPr>
          <w:p w14:paraId="06F851D8" w14:textId="77777777" w:rsidR="008A5ED0" w:rsidRPr="0071085D" w:rsidRDefault="008A5ED0" w:rsidP="00601620">
            <w:pPr>
              <w:widowControl w:val="0"/>
              <w:spacing w:line="480" w:lineRule="auto"/>
              <w:rPr>
                <w:sz w:val="20"/>
                <w:szCs w:val="20"/>
                <w:lang w:val="en-CA"/>
              </w:rPr>
            </w:pPr>
            <w:r w:rsidRPr="0071085D">
              <w:rPr>
                <w:sz w:val="20"/>
                <w:szCs w:val="20"/>
                <w:lang w:val="en-CA"/>
              </w:rPr>
              <w:t># sig. BVRs</w:t>
            </w:r>
          </w:p>
          <w:p w14:paraId="02D2BBEC" w14:textId="66E65B11" w:rsidR="008A5ED0" w:rsidRPr="0071085D" w:rsidRDefault="008A5ED0" w:rsidP="00601620">
            <w:pPr>
              <w:widowControl w:val="0"/>
              <w:spacing w:line="480" w:lineRule="auto"/>
              <w:rPr>
                <w:sz w:val="20"/>
                <w:szCs w:val="20"/>
                <w:lang w:val="en-CA"/>
              </w:rPr>
            </w:pPr>
            <w:r w:rsidRPr="0071085D">
              <w:rPr>
                <w:sz w:val="20"/>
                <w:szCs w:val="20"/>
                <w:lang w:val="en-CA"/>
              </w:rPr>
              <w:t>(%)</w:t>
            </w:r>
          </w:p>
        </w:tc>
      </w:tr>
      <w:tr w:rsidR="00521BD9" w:rsidRPr="0071085D" w14:paraId="74DC6FF5" w14:textId="697FEBC1" w:rsidTr="00F22341">
        <w:trPr>
          <w:trHeight w:val="667"/>
        </w:trPr>
        <w:tc>
          <w:tcPr>
            <w:tcW w:w="993" w:type="dxa"/>
            <w:tcBorders>
              <w:left w:val="nil"/>
              <w:bottom w:val="nil"/>
              <w:right w:val="nil"/>
            </w:tcBorders>
          </w:tcPr>
          <w:p w14:paraId="484C0D28" w14:textId="77777777" w:rsidR="008A5ED0" w:rsidRPr="0071085D" w:rsidRDefault="008A5ED0" w:rsidP="00601620">
            <w:pPr>
              <w:widowControl w:val="0"/>
              <w:spacing w:line="480" w:lineRule="auto"/>
              <w:rPr>
                <w:sz w:val="20"/>
                <w:szCs w:val="20"/>
                <w:lang w:val="en-CA"/>
              </w:rPr>
            </w:pPr>
            <w:r w:rsidRPr="0071085D">
              <w:rPr>
                <w:sz w:val="20"/>
                <w:szCs w:val="20"/>
                <w:lang w:val="en-CA"/>
              </w:rPr>
              <w:t>2-class</w:t>
            </w:r>
          </w:p>
        </w:tc>
        <w:tc>
          <w:tcPr>
            <w:tcW w:w="1310" w:type="dxa"/>
            <w:tcBorders>
              <w:left w:val="nil"/>
              <w:bottom w:val="nil"/>
              <w:right w:val="nil"/>
            </w:tcBorders>
          </w:tcPr>
          <w:p w14:paraId="28A19DA9" w14:textId="77777777" w:rsidR="008A5ED0" w:rsidRPr="0071085D" w:rsidRDefault="008A5ED0" w:rsidP="00601620">
            <w:pPr>
              <w:widowControl w:val="0"/>
              <w:spacing w:line="480" w:lineRule="auto"/>
              <w:rPr>
                <w:sz w:val="20"/>
                <w:szCs w:val="20"/>
                <w:lang w:val="en-CA"/>
              </w:rPr>
            </w:pPr>
            <w:r w:rsidRPr="0071085D">
              <w:rPr>
                <w:sz w:val="20"/>
                <w:szCs w:val="20"/>
                <w:lang w:val="en-CA"/>
              </w:rPr>
              <w:t>-3646.62</w:t>
            </w:r>
          </w:p>
        </w:tc>
        <w:tc>
          <w:tcPr>
            <w:tcW w:w="1099" w:type="dxa"/>
            <w:tcBorders>
              <w:left w:val="nil"/>
              <w:bottom w:val="nil"/>
              <w:right w:val="nil"/>
            </w:tcBorders>
          </w:tcPr>
          <w:p w14:paraId="5B2A25F9" w14:textId="77777777" w:rsidR="008A5ED0" w:rsidRPr="0071085D" w:rsidRDefault="008A5ED0" w:rsidP="00601620">
            <w:pPr>
              <w:widowControl w:val="0"/>
              <w:spacing w:line="480" w:lineRule="auto"/>
              <w:rPr>
                <w:sz w:val="20"/>
                <w:szCs w:val="20"/>
                <w:lang w:val="en-CA"/>
              </w:rPr>
            </w:pPr>
            <w:r w:rsidRPr="0071085D">
              <w:rPr>
                <w:sz w:val="20"/>
                <w:szCs w:val="20"/>
                <w:lang w:val="en-CA"/>
              </w:rPr>
              <w:t>7542.85</w:t>
            </w:r>
          </w:p>
        </w:tc>
        <w:tc>
          <w:tcPr>
            <w:tcW w:w="1197" w:type="dxa"/>
            <w:tcBorders>
              <w:left w:val="nil"/>
              <w:bottom w:val="nil"/>
              <w:right w:val="nil"/>
            </w:tcBorders>
          </w:tcPr>
          <w:p w14:paraId="7AFFA987" w14:textId="77777777" w:rsidR="008A5ED0" w:rsidRPr="0071085D" w:rsidRDefault="008A5ED0" w:rsidP="00601620">
            <w:pPr>
              <w:widowControl w:val="0"/>
              <w:spacing w:line="480" w:lineRule="auto"/>
              <w:rPr>
                <w:sz w:val="20"/>
                <w:szCs w:val="20"/>
                <w:lang w:val="en-CA"/>
              </w:rPr>
            </w:pPr>
            <w:r w:rsidRPr="0071085D">
              <w:rPr>
                <w:sz w:val="20"/>
                <w:szCs w:val="20"/>
                <w:lang w:val="en-CA"/>
              </w:rPr>
              <w:t>7419.03</w:t>
            </w:r>
          </w:p>
        </w:tc>
        <w:tc>
          <w:tcPr>
            <w:tcW w:w="1400" w:type="dxa"/>
            <w:tcBorders>
              <w:left w:val="nil"/>
              <w:bottom w:val="nil"/>
              <w:right w:val="nil"/>
            </w:tcBorders>
          </w:tcPr>
          <w:p w14:paraId="3D17ABB6" w14:textId="77777777" w:rsidR="008A5ED0" w:rsidRPr="0071085D" w:rsidRDefault="008A5ED0" w:rsidP="00601620">
            <w:pPr>
              <w:widowControl w:val="0"/>
              <w:spacing w:line="480" w:lineRule="auto"/>
              <w:rPr>
                <w:sz w:val="20"/>
                <w:szCs w:val="20"/>
                <w:lang w:val="en-CA"/>
              </w:rPr>
            </w:pPr>
            <w:r w:rsidRPr="0071085D">
              <w:rPr>
                <w:sz w:val="20"/>
                <w:szCs w:val="20"/>
                <w:lang w:val="en-CA"/>
              </w:rPr>
              <w:t>708.56 (.00)</w:t>
            </w:r>
          </w:p>
        </w:tc>
        <w:tc>
          <w:tcPr>
            <w:tcW w:w="1231" w:type="dxa"/>
            <w:tcBorders>
              <w:left w:val="nil"/>
              <w:bottom w:val="nil"/>
              <w:right w:val="nil"/>
            </w:tcBorders>
          </w:tcPr>
          <w:p w14:paraId="50232EC5" w14:textId="77777777" w:rsidR="008A5ED0" w:rsidRPr="0071085D" w:rsidRDefault="008A5ED0" w:rsidP="00601620">
            <w:pPr>
              <w:widowControl w:val="0"/>
              <w:spacing w:line="480" w:lineRule="auto"/>
              <w:rPr>
                <w:sz w:val="20"/>
                <w:szCs w:val="20"/>
                <w:lang w:val="en-CA"/>
              </w:rPr>
            </w:pPr>
            <w:r w:rsidRPr="0071085D">
              <w:rPr>
                <w:sz w:val="20"/>
                <w:szCs w:val="20"/>
                <w:lang w:val="en-CA"/>
              </w:rPr>
              <w:t>708.54 (.00)</w:t>
            </w:r>
          </w:p>
        </w:tc>
        <w:tc>
          <w:tcPr>
            <w:tcW w:w="993" w:type="dxa"/>
            <w:tcBorders>
              <w:left w:val="nil"/>
              <w:bottom w:val="nil"/>
              <w:right w:val="nil"/>
            </w:tcBorders>
          </w:tcPr>
          <w:p w14:paraId="70C62A9C" w14:textId="77777777" w:rsidR="008A5ED0" w:rsidRPr="0071085D" w:rsidRDefault="008A5ED0" w:rsidP="00601620">
            <w:pPr>
              <w:widowControl w:val="0"/>
              <w:spacing w:line="480" w:lineRule="auto"/>
              <w:rPr>
                <w:sz w:val="20"/>
                <w:szCs w:val="20"/>
                <w:lang w:val="en-CA"/>
              </w:rPr>
            </w:pPr>
            <w:r w:rsidRPr="0071085D">
              <w:rPr>
                <w:sz w:val="20"/>
                <w:szCs w:val="20"/>
                <w:lang w:val="en-CA"/>
              </w:rPr>
              <w:t>.78</w:t>
            </w:r>
          </w:p>
        </w:tc>
        <w:tc>
          <w:tcPr>
            <w:tcW w:w="2126" w:type="dxa"/>
            <w:tcBorders>
              <w:left w:val="nil"/>
              <w:bottom w:val="nil"/>
              <w:right w:val="nil"/>
            </w:tcBorders>
          </w:tcPr>
          <w:p w14:paraId="7D5D83DA" w14:textId="77777777" w:rsidR="008A5ED0" w:rsidRPr="0071085D" w:rsidRDefault="008A5ED0" w:rsidP="00601620">
            <w:pPr>
              <w:widowControl w:val="0"/>
              <w:spacing w:line="480" w:lineRule="auto"/>
              <w:rPr>
                <w:sz w:val="20"/>
                <w:szCs w:val="20"/>
                <w:lang w:val="en-CA"/>
              </w:rPr>
            </w:pPr>
            <w:r w:rsidRPr="0071085D">
              <w:rPr>
                <w:sz w:val="20"/>
                <w:szCs w:val="20"/>
                <w:lang w:val="en-CA"/>
              </w:rPr>
              <w:t>.93, .94</w:t>
            </w:r>
          </w:p>
        </w:tc>
        <w:tc>
          <w:tcPr>
            <w:tcW w:w="1984" w:type="dxa"/>
            <w:tcBorders>
              <w:left w:val="nil"/>
              <w:bottom w:val="nil"/>
              <w:right w:val="nil"/>
            </w:tcBorders>
          </w:tcPr>
          <w:p w14:paraId="079832AB" w14:textId="77777777" w:rsidR="008A5ED0" w:rsidRPr="0071085D" w:rsidRDefault="008A5ED0" w:rsidP="00601620">
            <w:pPr>
              <w:widowControl w:val="0"/>
              <w:spacing w:line="480" w:lineRule="auto"/>
              <w:rPr>
                <w:sz w:val="20"/>
                <w:szCs w:val="20"/>
                <w:lang w:val="en-CA"/>
              </w:rPr>
            </w:pPr>
            <w:r w:rsidRPr="0071085D">
              <w:rPr>
                <w:sz w:val="20"/>
                <w:szCs w:val="20"/>
                <w:lang w:val="en-CA"/>
              </w:rPr>
              <w:t>248, 354</w:t>
            </w:r>
          </w:p>
        </w:tc>
        <w:tc>
          <w:tcPr>
            <w:tcW w:w="1276" w:type="dxa"/>
            <w:tcBorders>
              <w:left w:val="nil"/>
              <w:bottom w:val="nil"/>
              <w:right w:val="nil"/>
            </w:tcBorders>
          </w:tcPr>
          <w:p w14:paraId="6B842C98" w14:textId="4AA9A00E" w:rsidR="008A5ED0" w:rsidRPr="0071085D" w:rsidRDefault="00521BD9" w:rsidP="00601620">
            <w:pPr>
              <w:widowControl w:val="0"/>
              <w:spacing w:line="480" w:lineRule="auto"/>
              <w:rPr>
                <w:sz w:val="20"/>
                <w:szCs w:val="20"/>
                <w:lang w:val="en-CA"/>
              </w:rPr>
            </w:pPr>
            <w:r w:rsidRPr="0071085D">
              <w:rPr>
                <w:sz w:val="20"/>
                <w:szCs w:val="20"/>
                <w:lang w:val="en-CA"/>
              </w:rPr>
              <w:t>7 (.04)</w:t>
            </w:r>
          </w:p>
        </w:tc>
      </w:tr>
      <w:tr w:rsidR="00521BD9" w:rsidRPr="0071085D" w14:paraId="29A4A258" w14:textId="48AFC020" w:rsidTr="00F22341">
        <w:trPr>
          <w:trHeight w:val="684"/>
        </w:trPr>
        <w:tc>
          <w:tcPr>
            <w:tcW w:w="993" w:type="dxa"/>
            <w:tcBorders>
              <w:top w:val="nil"/>
              <w:left w:val="nil"/>
              <w:bottom w:val="nil"/>
              <w:right w:val="nil"/>
            </w:tcBorders>
          </w:tcPr>
          <w:p w14:paraId="47BFFFCB" w14:textId="77777777" w:rsidR="008A5ED0" w:rsidRPr="0071085D" w:rsidRDefault="008A5ED0" w:rsidP="00601620">
            <w:pPr>
              <w:widowControl w:val="0"/>
              <w:spacing w:line="480" w:lineRule="auto"/>
              <w:rPr>
                <w:sz w:val="20"/>
                <w:szCs w:val="20"/>
                <w:lang w:val="en-CA"/>
              </w:rPr>
            </w:pPr>
            <w:r w:rsidRPr="0071085D">
              <w:rPr>
                <w:sz w:val="20"/>
                <w:szCs w:val="20"/>
                <w:lang w:val="en-CA"/>
              </w:rPr>
              <w:t>3-class</w:t>
            </w:r>
          </w:p>
        </w:tc>
        <w:tc>
          <w:tcPr>
            <w:tcW w:w="1310" w:type="dxa"/>
            <w:tcBorders>
              <w:top w:val="nil"/>
              <w:left w:val="nil"/>
              <w:bottom w:val="nil"/>
              <w:right w:val="nil"/>
            </w:tcBorders>
          </w:tcPr>
          <w:p w14:paraId="2BC4D6E7" w14:textId="77777777" w:rsidR="008A5ED0" w:rsidRPr="0071085D" w:rsidRDefault="008A5ED0" w:rsidP="00601620">
            <w:pPr>
              <w:widowControl w:val="0"/>
              <w:spacing w:line="480" w:lineRule="auto"/>
              <w:rPr>
                <w:sz w:val="20"/>
                <w:szCs w:val="20"/>
                <w:lang w:val="en-CA"/>
              </w:rPr>
            </w:pPr>
            <w:r w:rsidRPr="0071085D">
              <w:rPr>
                <w:sz w:val="20"/>
                <w:szCs w:val="20"/>
                <w:lang w:val="en-CA"/>
              </w:rPr>
              <w:t>-3518.35</w:t>
            </w:r>
          </w:p>
        </w:tc>
        <w:tc>
          <w:tcPr>
            <w:tcW w:w="1099" w:type="dxa"/>
            <w:tcBorders>
              <w:top w:val="nil"/>
              <w:left w:val="nil"/>
              <w:bottom w:val="nil"/>
              <w:right w:val="nil"/>
            </w:tcBorders>
          </w:tcPr>
          <w:p w14:paraId="397532B0" w14:textId="77777777" w:rsidR="008A5ED0" w:rsidRPr="0071085D" w:rsidRDefault="008A5ED0" w:rsidP="00601620">
            <w:pPr>
              <w:widowControl w:val="0"/>
              <w:spacing w:line="480" w:lineRule="auto"/>
              <w:rPr>
                <w:sz w:val="20"/>
                <w:szCs w:val="20"/>
                <w:lang w:val="en-CA"/>
              </w:rPr>
            </w:pPr>
            <w:r w:rsidRPr="0071085D">
              <w:rPr>
                <w:sz w:val="20"/>
                <w:szCs w:val="20"/>
                <w:lang w:val="en-CA"/>
              </w:rPr>
              <w:t>7407.91</w:t>
            </w:r>
          </w:p>
        </w:tc>
        <w:tc>
          <w:tcPr>
            <w:tcW w:w="1197" w:type="dxa"/>
            <w:tcBorders>
              <w:top w:val="nil"/>
              <w:left w:val="nil"/>
              <w:bottom w:val="nil"/>
              <w:right w:val="nil"/>
            </w:tcBorders>
          </w:tcPr>
          <w:p w14:paraId="60264A73" w14:textId="77777777" w:rsidR="008A5ED0" w:rsidRPr="0071085D" w:rsidRDefault="008A5ED0" w:rsidP="00601620">
            <w:pPr>
              <w:widowControl w:val="0"/>
              <w:spacing w:line="480" w:lineRule="auto"/>
              <w:rPr>
                <w:sz w:val="20"/>
                <w:szCs w:val="20"/>
                <w:lang w:val="en-CA"/>
              </w:rPr>
            </w:pPr>
            <w:r w:rsidRPr="0071085D">
              <w:rPr>
                <w:sz w:val="20"/>
                <w:szCs w:val="20"/>
                <w:lang w:val="en-CA"/>
              </w:rPr>
              <w:t>7223.77</w:t>
            </w:r>
          </w:p>
        </w:tc>
        <w:tc>
          <w:tcPr>
            <w:tcW w:w="1400" w:type="dxa"/>
            <w:tcBorders>
              <w:top w:val="nil"/>
              <w:left w:val="nil"/>
              <w:bottom w:val="nil"/>
              <w:right w:val="nil"/>
            </w:tcBorders>
          </w:tcPr>
          <w:p w14:paraId="380306AE" w14:textId="77777777" w:rsidR="008A5ED0" w:rsidRPr="0071085D" w:rsidRDefault="008A5ED0" w:rsidP="00601620">
            <w:pPr>
              <w:widowControl w:val="0"/>
              <w:spacing w:line="480" w:lineRule="auto"/>
              <w:rPr>
                <w:sz w:val="20"/>
                <w:szCs w:val="20"/>
                <w:lang w:val="en-CA"/>
              </w:rPr>
            </w:pPr>
            <w:r w:rsidRPr="0071085D">
              <w:rPr>
                <w:sz w:val="20"/>
                <w:szCs w:val="20"/>
                <w:lang w:val="en-CA"/>
              </w:rPr>
              <w:t>256.54 (.00)</w:t>
            </w:r>
          </w:p>
        </w:tc>
        <w:tc>
          <w:tcPr>
            <w:tcW w:w="1231" w:type="dxa"/>
            <w:tcBorders>
              <w:top w:val="nil"/>
              <w:left w:val="nil"/>
              <w:bottom w:val="nil"/>
              <w:right w:val="nil"/>
            </w:tcBorders>
          </w:tcPr>
          <w:p w14:paraId="67240013" w14:textId="77777777" w:rsidR="008A5ED0" w:rsidRPr="0071085D" w:rsidRDefault="008A5ED0" w:rsidP="00601620">
            <w:pPr>
              <w:widowControl w:val="0"/>
              <w:spacing w:line="480" w:lineRule="auto"/>
              <w:rPr>
                <w:sz w:val="20"/>
                <w:szCs w:val="20"/>
                <w:lang w:val="en-CA"/>
              </w:rPr>
            </w:pPr>
            <w:r w:rsidRPr="0071085D">
              <w:rPr>
                <w:sz w:val="20"/>
                <w:szCs w:val="20"/>
                <w:lang w:val="en-CA"/>
              </w:rPr>
              <w:t>256.54 (.00)</w:t>
            </w:r>
          </w:p>
        </w:tc>
        <w:tc>
          <w:tcPr>
            <w:tcW w:w="993" w:type="dxa"/>
            <w:tcBorders>
              <w:top w:val="nil"/>
              <w:left w:val="nil"/>
              <w:bottom w:val="nil"/>
              <w:right w:val="nil"/>
            </w:tcBorders>
          </w:tcPr>
          <w:p w14:paraId="6B23C1F3" w14:textId="77777777" w:rsidR="008A5ED0" w:rsidRPr="0071085D" w:rsidRDefault="008A5ED0" w:rsidP="00601620">
            <w:pPr>
              <w:widowControl w:val="0"/>
              <w:spacing w:line="480" w:lineRule="auto"/>
              <w:rPr>
                <w:sz w:val="20"/>
                <w:szCs w:val="20"/>
                <w:lang w:val="en-CA"/>
              </w:rPr>
            </w:pPr>
            <w:r w:rsidRPr="0071085D">
              <w:rPr>
                <w:sz w:val="20"/>
                <w:szCs w:val="20"/>
                <w:lang w:val="en-CA"/>
              </w:rPr>
              <w:t>.84</w:t>
            </w:r>
          </w:p>
        </w:tc>
        <w:tc>
          <w:tcPr>
            <w:tcW w:w="2126" w:type="dxa"/>
            <w:tcBorders>
              <w:top w:val="nil"/>
              <w:left w:val="nil"/>
              <w:bottom w:val="nil"/>
              <w:right w:val="nil"/>
            </w:tcBorders>
          </w:tcPr>
          <w:p w14:paraId="55D47A71" w14:textId="77777777" w:rsidR="008A5ED0" w:rsidRPr="0071085D" w:rsidRDefault="008A5ED0" w:rsidP="00601620">
            <w:pPr>
              <w:widowControl w:val="0"/>
              <w:spacing w:line="480" w:lineRule="auto"/>
              <w:rPr>
                <w:sz w:val="20"/>
                <w:szCs w:val="20"/>
                <w:lang w:val="en-CA"/>
              </w:rPr>
            </w:pPr>
            <w:r w:rsidRPr="0071085D">
              <w:rPr>
                <w:sz w:val="20"/>
                <w:szCs w:val="20"/>
                <w:lang w:val="en-CA"/>
              </w:rPr>
              <w:t>.97, .93, .91</w:t>
            </w:r>
          </w:p>
        </w:tc>
        <w:tc>
          <w:tcPr>
            <w:tcW w:w="1984" w:type="dxa"/>
            <w:tcBorders>
              <w:top w:val="nil"/>
              <w:left w:val="nil"/>
              <w:bottom w:val="nil"/>
              <w:right w:val="nil"/>
            </w:tcBorders>
          </w:tcPr>
          <w:p w14:paraId="536A21EF" w14:textId="77777777" w:rsidR="008A5ED0" w:rsidRPr="0071085D" w:rsidRDefault="008A5ED0" w:rsidP="00601620">
            <w:pPr>
              <w:widowControl w:val="0"/>
              <w:spacing w:line="480" w:lineRule="auto"/>
              <w:rPr>
                <w:sz w:val="20"/>
                <w:szCs w:val="20"/>
                <w:lang w:val="en-CA"/>
              </w:rPr>
            </w:pPr>
            <w:r w:rsidRPr="0071085D">
              <w:rPr>
                <w:sz w:val="20"/>
                <w:szCs w:val="20"/>
                <w:lang w:val="en-CA"/>
              </w:rPr>
              <w:t>92, 301, 209</w:t>
            </w:r>
          </w:p>
        </w:tc>
        <w:tc>
          <w:tcPr>
            <w:tcW w:w="1276" w:type="dxa"/>
            <w:tcBorders>
              <w:top w:val="nil"/>
              <w:left w:val="nil"/>
              <w:bottom w:val="nil"/>
              <w:right w:val="nil"/>
            </w:tcBorders>
          </w:tcPr>
          <w:p w14:paraId="196A5DAD" w14:textId="73C91D40" w:rsidR="008A5ED0" w:rsidRPr="0071085D" w:rsidRDefault="00521BD9" w:rsidP="00601620">
            <w:pPr>
              <w:widowControl w:val="0"/>
              <w:spacing w:line="480" w:lineRule="auto"/>
              <w:rPr>
                <w:sz w:val="20"/>
                <w:szCs w:val="20"/>
                <w:lang w:val="en-CA"/>
              </w:rPr>
            </w:pPr>
            <w:r w:rsidRPr="0071085D">
              <w:rPr>
                <w:sz w:val="20"/>
                <w:szCs w:val="20"/>
                <w:lang w:val="en-CA"/>
              </w:rPr>
              <w:t>3 (.02)</w:t>
            </w:r>
          </w:p>
        </w:tc>
      </w:tr>
      <w:tr w:rsidR="00521BD9" w:rsidRPr="0071085D" w14:paraId="6B197E47" w14:textId="2098655B" w:rsidTr="00F22341">
        <w:trPr>
          <w:trHeight w:val="684"/>
        </w:trPr>
        <w:tc>
          <w:tcPr>
            <w:tcW w:w="993" w:type="dxa"/>
            <w:tcBorders>
              <w:top w:val="nil"/>
              <w:left w:val="nil"/>
              <w:bottom w:val="nil"/>
              <w:right w:val="nil"/>
            </w:tcBorders>
          </w:tcPr>
          <w:p w14:paraId="2BF4DF9D" w14:textId="77777777" w:rsidR="008A5ED0" w:rsidRPr="0071085D" w:rsidRDefault="008A5ED0" w:rsidP="00601620">
            <w:pPr>
              <w:widowControl w:val="0"/>
              <w:spacing w:line="480" w:lineRule="auto"/>
              <w:rPr>
                <w:b/>
                <w:sz w:val="20"/>
                <w:szCs w:val="20"/>
                <w:lang w:val="en-CA"/>
              </w:rPr>
            </w:pPr>
            <w:r w:rsidRPr="0071085D">
              <w:rPr>
                <w:b/>
                <w:sz w:val="20"/>
                <w:szCs w:val="20"/>
                <w:lang w:val="en-CA"/>
              </w:rPr>
              <w:t>4-class</w:t>
            </w:r>
          </w:p>
        </w:tc>
        <w:tc>
          <w:tcPr>
            <w:tcW w:w="1310" w:type="dxa"/>
            <w:tcBorders>
              <w:top w:val="nil"/>
              <w:left w:val="nil"/>
              <w:bottom w:val="nil"/>
              <w:right w:val="nil"/>
            </w:tcBorders>
          </w:tcPr>
          <w:p w14:paraId="6C33551C" w14:textId="77777777" w:rsidR="008A5ED0" w:rsidRPr="0071085D" w:rsidRDefault="008A5ED0" w:rsidP="00601620">
            <w:pPr>
              <w:widowControl w:val="0"/>
              <w:spacing w:line="480" w:lineRule="auto"/>
              <w:rPr>
                <w:b/>
                <w:sz w:val="20"/>
                <w:szCs w:val="20"/>
                <w:lang w:val="en-CA"/>
              </w:rPr>
            </w:pPr>
            <w:r w:rsidRPr="0071085D">
              <w:rPr>
                <w:b/>
                <w:sz w:val="20"/>
                <w:szCs w:val="20"/>
                <w:lang w:val="en-CA"/>
              </w:rPr>
              <w:t>-3458.62</w:t>
            </w:r>
          </w:p>
        </w:tc>
        <w:tc>
          <w:tcPr>
            <w:tcW w:w="1099" w:type="dxa"/>
            <w:tcBorders>
              <w:top w:val="nil"/>
              <w:left w:val="nil"/>
              <w:bottom w:val="nil"/>
              <w:right w:val="nil"/>
            </w:tcBorders>
          </w:tcPr>
          <w:p w14:paraId="08551387" w14:textId="77777777" w:rsidR="008A5ED0" w:rsidRPr="0071085D" w:rsidRDefault="008A5ED0" w:rsidP="00601620">
            <w:pPr>
              <w:widowControl w:val="0"/>
              <w:spacing w:line="480" w:lineRule="auto"/>
              <w:rPr>
                <w:b/>
                <w:sz w:val="20"/>
                <w:szCs w:val="20"/>
                <w:lang w:val="en-CA"/>
              </w:rPr>
            </w:pPr>
            <w:r w:rsidRPr="0071085D">
              <w:rPr>
                <w:b/>
                <w:sz w:val="20"/>
                <w:szCs w:val="20"/>
                <w:lang w:val="en-CA"/>
              </w:rPr>
              <w:t>7410.05</w:t>
            </w:r>
          </w:p>
        </w:tc>
        <w:tc>
          <w:tcPr>
            <w:tcW w:w="1197" w:type="dxa"/>
            <w:tcBorders>
              <w:top w:val="nil"/>
              <w:left w:val="nil"/>
              <w:bottom w:val="nil"/>
              <w:right w:val="nil"/>
            </w:tcBorders>
          </w:tcPr>
          <w:p w14:paraId="42DADB5D" w14:textId="77777777" w:rsidR="008A5ED0" w:rsidRPr="0071085D" w:rsidRDefault="008A5ED0" w:rsidP="00601620">
            <w:pPr>
              <w:widowControl w:val="0"/>
              <w:spacing w:line="480" w:lineRule="auto"/>
              <w:rPr>
                <w:b/>
                <w:sz w:val="20"/>
                <w:szCs w:val="20"/>
                <w:lang w:val="en-CA"/>
              </w:rPr>
            </w:pPr>
            <w:r w:rsidRPr="0071085D">
              <w:rPr>
                <w:b/>
                <w:sz w:val="20"/>
                <w:szCs w:val="20"/>
                <w:lang w:val="en-CA"/>
              </w:rPr>
              <w:t>7165.56</w:t>
            </w:r>
          </w:p>
        </w:tc>
        <w:tc>
          <w:tcPr>
            <w:tcW w:w="1400" w:type="dxa"/>
            <w:tcBorders>
              <w:top w:val="nil"/>
              <w:left w:val="nil"/>
              <w:bottom w:val="nil"/>
              <w:right w:val="nil"/>
            </w:tcBorders>
          </w:tcPr>
          <w:p w14:paraId="611E56E6" w14:textId="77777777" w:rsidR="008A5ED0" w:rsidRPr="0071085D" w:rsidRDefault="008A5ED0" w:rsidP="00601620">
            <w:pPr>
              <w:widowControl w:val="0"/>
              <w:spacing w:line="480" w:lineRule="auto"/>
              <w:rPr>
                <w:b/>
                <w:sz w:val="20"/>
                <w:szCs w:val="20"/>
                <w:lang w:val="en-CA"/>
              </w:rPr>
            </w:pPr>
            <w:r w:rsidRPr="0071085D">
              <w:rPr>
                <w:b/>
                <w:sz w:val="20"/>
                <w:szCs w:val="20"/>
                <w:lang w:val="en-CA"/>
              </w:rPr>
              <w:t>119.46 (.04)</w:t>
            </w:r>
          </w:p>
        </w:tc>
        <w:tc>
          <w:tcPr>
            <w:tcW w:w="1231" w:type="dxa"/>
            <w:tcBorders>
              <w:top w:val="nil"/>
              <w:left w:val="nil"/>
              <w:bottom w:val="nil"/>
              <w:right w:val="nil"/>
            </w:tcBorders>
          </w:tcPr>
          <w:p w14:paraId="63F8A6C5" w14:textId="77777777" w:rsidR="008A5ED0" w:rsidRPr="0071085D" w:rsidRDefault="008A5ED0" w:rsidP="00601620">
            <w:pPr>
              <w:widowControl w:val="0"/>
              <w:spacing w:line="480" w:lineRule="auto"/>
              <w:rPr>
                <w:b/>
                <w:sz w:val="20"/>
                <w:szCs w:val="20"/>
                <w:lang w:val="en-CA"/>
              </w:rPr>
            </w:pPr>
            <w:r w:rsidRPr="0071085D">
              <w:rPr>
                <w:b/>
                <w:sz w:val="20"/>
                <w:szCs w:val="20"/>
                <w:lang w:val="en-CA"/>
              </w:rPr>
              <w:t>119.46 (.00)</w:t>
            </w:r>
          </w:p>
        </w:tc>
        <w:tc>
          <w:tcPr>
            <w:tcW w:w="993" w:type="dxa"/>
            <w:tcBorders>
              <w:top w:val="nil"/>
              <w:left w:val="nil"/>
              <w:bottom w:val="nil"/>
              <w:right w:val="nil"/>
            </w:tcBorders>
          </w:tcPr>
          <w:p w14:paraId="5522BF03" w14:textId="77777777" w:rsidR="008A5ED0" w:rsidRPr="0071085D" w:rsidRDefault="008A5ED0" w:rsidP="00601620">
            <w:pPr>
              <w:widowControl w:val="0"/>
              <w:spacing w:line="480" w:lineRule="auto"/>
              <w:rPr>
                <w:b/>
                <w:sz w:val="20"/>
                <w:szCs w:val="20"/>
                <w:lang w:val="en-CA"/>
              </w:rPr>
            </w:pPr>
            <w:r w:rsidRPr="0071085D">
              <w:rPr>
                <w:b/>
                <w:sz w:val="20"/>
                <w:szCs w:val="20"/>
                <w:lang w:val="en-CA"/>
              </w:rPr>
              <w:t>.86</w:t>
            </w:r>
          </w:p>
        </w:tc>
        <w:tc>
          <w:tcPr>
            <w:tcW w:w="2126" w:type="dxa"/>
            <w:tcBorders>
              <w:top w:val="nil"/>
              <w:left w:val="nil"/>
              <w:bottom w:val="nil"/>
              <w:right w:val="nil"/>
            </w:tcBorders>
          </w:tcPr>
          <w:p w14:paraId="3106C210" w14:textId="77777777" w:rsidR="008A5ED0" w:rsidRPr="0071085D" w:rsidRDefault="008A5ED0" w:rsidP="00601620">
            <w:pPr>
              <w:widowControl w:val="0"/>
              <w:spacing w:line="480" w:lineRule="auto"/>
              <w:rPr>
                <w:b/>
                <w:sz w:val="20"/>
                <w:szCs w:val="20"/>
                <w:lang w:val="en-CA"/>
              </w:rPr>
            </w:pPr>
            <w:r w:rsidRPr="0071085D">
              <w:rPr>
                <w:b/>
                <w:sz w:val="20"/>
                <w:szCs w:val="20"/>
                <w:lang w:val="en-CA"/>
              </w:rPr>
              <w:t>.97, .92, .90, .90</w:t>
            </w:r>
          </w:p>
        </w:tc>
        <w:tc>
          <w:tcPr>
            <w:tcW w:w="1984" w:type="dxa"/>
            <w:tcBorders>
              <w:top w:val="nil"/>
              <w:left w:val="nil"/>
              <w:bottom w:val="nil"/>
              <w:right w:val="nil"/>
            </w:tcBorders>
          </w:tcPr>
          <w:p w14:paraId="6B4FAFD5" w14:textId="77777777" w:rsidR="008A5ED0" w:rsidRPr="0071085D" w:rsidRDefault="008A5ED0" w:rsidP="00601620">
            <w:pPr>
              <w:widowControl w:val="0"/>
              <w:spacing w:line="480" w:lineRule="auto"/>
              <w:rPr>
                <w:b/>
                <w:sz w:val="20"/>
                <w:szCs w:val="20"/>
                <w:lang w:val="en-CA"/>
              </w:rPr>
            </w:pPr>
            <w:r w:rsidRPr="0071085D">
              <w:rPr>
                <w:b/>
                <w:sz w:val="20"/>
                <w:szCs w:val="20"/>
                <w:lang w:val="en-CA"/>
              </w:rPr>
              <w:t xml:space="preserve">81, 209, 255, 57 </w:t>
            </w:r>
          </w:p>
        </w:tc>
        <w:tc>
          <w:tcPr>
            <w:tcW w:w="1276" w:type="dxa"/>
            <w:tcBorders>
              <w:top w:val="nil"/>
              <w:left w:val="nil"/>
              <w:bottom w:val="nil"/>
              <w:right w:val="nil"/>
            </w:tcBorders>
          </w:tcPr>
          <w:p w14:paraId="11750DAE" w14:textId="5A41E39C" w:rsidR="008A5ED0" w:rsidRPr="0071085D" w:rsidRDefault="00521BD9" w:rsidP="00601620">
            <w:pPr>
              <w:widowControl w:val="0"/>
              <w:spacing w:line="480" w:lineRule="auto"/>
              <w:rPr>
                <w:b/>
                <w:sz w:val="20"/>
                <w:szCs w:val="20"/>
                <w:lang w:val="en-CA"/>
              </w:rPr>
            </w:pPr>
            <w:r w:rsidRPr="0071085D">
              <w:rPr>
                <w:b/>
                <w:sz w:val="20"/>
                <w:szCs w:val="20"/>
                <w:lang w:val="en-CA"/>
              </w:rPr>
              <w:t>2 (.01)</w:t>
            </w:r>
          </w:p>
        </w:tc>
      </w:tr>
      <w:tr w:rsidR="00521BD9" w:rsidRPr="0071085D" w14:paraId="4822F333" w14:textId="529A99D6" w:rsidTr="00F22341">
        <w:trPr>
          <w:trHeight w:val="667"/>
        </w:trPr>
        <w:tc>
          <w:tcPr>
            <w:tcW w:w="993" w:type="dxa"/>
            <w:tcBorders>
              <w:top w:val="nil"/>
              <w:left w:val="nil"/>
              <w:bottom w:val="nil"/>
              <w:right w:val="nil"/>
            </w:tcBorders>
          </w:tcPr>
          <w:p w14:paraId="4C0E6C64" w14:textId="77777777" w:rsidR="008A5ED0" w:rsidRPr="0071085D" w:rsidRDefault="008A5ED0" w:rsidP="00601620">
            <w:pPr>
              <w:widowControl w:val="0"/>
              <w:spacing w:line="480" w:lineRule="auto"/>
              <w:rPr>
                <w:sz w:val="20"/>
                <w:szCs w:val="20"/>
                <w:lang w:val="en-CA"/>
              </w:rPr>
            </w:pPr>
            <w:r w:rsidRPr="0071085D">
              <w:rPr>
                <w:sz w:val="20"/>
                <w:szCs w:val="20"/>
                <w:lang w:val="en-CA"/>
              </w:rPr>
              <w:t>5-class</w:t>
            </w:r>
          </w:p>
        </w:tc>
        <w:tc>
          <w:tcPr>
            <w:tcW w:w="1310" w:type="dxa"/>
            <w:tcBorders>
              <w:top w:val="nil"/>
              <w:left w:val="nil"/>
              <w:bottom w:val="nil"/>
              <w:right w:val="nil"/>
            </w:tcBorders>
          </w:tcPr>
          <w:p w14:paraId="6061293E" w14:textId="77777777" w:rsidR="008A5ED0" w:rsidRPr="0071085D" w:rsidRDefault="008A5ED0" w:rsidP="00601620">
            <w:pPr>
              <w:widowControl w:val="0"/>
              <w:spacing w:line="480" w:lineRule="auto"/>
              <w:rPr>
                <w:sz w:val="20"/>
                <w:szCs w:val="20"/>
                <w:lang w:val="en-CA"/>
              </w:rPr>
            </w:pPr>
            <w:r w:rsidRPr="0071085D">
              <w:rPr>
                <w:sz w:val="20"/>
                <w:szCs w:val="20"/>
                <w:lang w:val="en-CA"/>
              </w:rPr>
              <w:t>-3430.95</w:t>
            </w:r>
          </w:p>
        </w:tc>
        <w:tc>
          <w:tcPr>
            <w:tcW w:w="1099" w:type="dxa"/>
            <w:tcBorders>
              <w:top w:val="nil"/>
              <w:left w:val="nil"/>
              <w:bottom w:val="nil"/>
              <w:right w:val="nil"/>
            </w:tcBorders>
          </w:tcPr>
          <w:p w14:paraId="0A782577" w14:textId="77777777" w:rsidR="008A5ED0" w:rsidRPr="0071085D" w:rsidRDefault="008A5ED0" w:rsidP="00601620">
            <w:pPr>
              <w:widowControl w:val="0"/>
              <w:spacing w:line="480" w:lineRule="auto"/>
              <w:rPr>
                <w:sz w:val="20"/>
                <w:szCs w:val="20"/>
                <w:lang w:val="en-CA"/>
              </w:rPr>
            </w:pPr>
            <w:r w:rsidRPr="0071085D">
              <w:rPr>
                <w:sz w:val="20"/>
                <w:szCs w:val="20"/>
                <w:lang w:val="en-CA"/>
              </w:rPr>
              <w:t>7476.32</w:t>
            </w:r>
          </w:p>
        </w:tc>
        <w:tc>
          <w:tcPr>
            <w:tcW w:w="1197" w:type="dxa"/>
            <w:tcBorders>
              <w:top w:val="nil"/>
              <w:left w:val="nil"/>
              <w:bottom w:val="nil"/>
              <w:right w:val="nil"/>
            </w:tcBorders>
          </w:tcPr>
          <w:p w14:paraId="3E41F5F6" w14:textId="77777777" w:rsidR="008A5ED0" w:rsidRPr="0071085D" w:rsidRDefault="008A5ED0" w:rsidP="00601620">
            <w:pPr>
              <w:widowControl w:val="0"/>
              <w:spacing w:line="480" w:lineRule="auto"/>
              <w:rPr>
                <w:sz w:val="20"/>
                <w:szCs w:val="20"/>
                <w:lang w:val="en-CA"/>
              </w:rPr>
            </w:pPr>
            <w:r w:rsidRPr="0071085D">
              <w:rPr>
                <w:sz w:val="20"/>
                <w:szCs w:val="20"/>
                <w:lang w:val="en-CA"/>
              </w:rPr>
              <w:t>7171.55</w:t>
            </w:r>
          </w:p>
        </w:tc>
        <w:tc>
          <w:tcPr>
            <w:tcW w:w="1400" w:type="dxa"/>
            <w:tcBorders>
              <w:top w:val="nil"/>
              <w:left w:val="nil"/>
              <w:bottom w:val="nil"/>
              <w:right w:val="nil"/>
            </w:tcBorders>
          </w:tcPr>
          <w:p w14:paraId="0385ACE5" w14:textId="77777777" w:rsidR="008A5ED0" w:rsidRPr="0071085D" w:rsidRDefault="008A5ED0" w:rsidP="00601620">
            <w:pPr>
              <w:widowControl w:val="0"/>
              <w:spacing w:line="480" w:lineRule="auto"/>
              <w:rPr>
                <w:sz w:val="20"/>
                <w:szCs w:val="20"/>
                <w:lang w:val="en-CA"/>
              </w:rPr>
            </w:pPr>
            <w:r w:rsidRPr="0071085D">
              <w:rPr>
                <w:sz w:val="20"/>
                <w:szCs w:val="20"/>
                <w:lang w:val="en-CA"/>
              </w:rPr>
              <w:t>55.33 (.31)</w:t>
            </w:r>
          </w:p>
        </w:tc>
        <w:tc>
          <w:tcPr>
            <w:tcW w:w="1231" w:type="dxa"/>
            <w:tcBorders>
              <w:top w:val="nil"/>
              <w:left w:val="nil"/>
              <w:bottom w:val="nil"/>
              <w:right w:val="nil"/>
            </w:tcBorders>
          </w:tcPr>
          <w:p w14:paraId="3A468E74" w14:textId="77777777" w:rsidR="008A5ED0" w:rsidRPr="0071085D" w:rsidRDefault="008A5ED0" w:rsidP="00601620">
            <w:pPr>
              <w:widowControl w:val="0"/>
              <w:spacing w:line="480" w:lineRule="auto"/>
              <w:rPr>
                <w:sz w:val="20"/>
                <w:szCs w:val="20"/>
                <w:lang w:val="en-CA"/>
              </w:rPr>
            </w:pPr>
            <w:r w:rsidRPr="0071085D">
              <w:rPr>
                <w:sz w:val="20"/>
                <w:szCs w:val="20"/>
                <w:lang w:val="en-CA"/>
              </w:rPr>
              <w:t>55.33 (.00)</w:t>
            </w:r>
          </w:p>
        </w:tc>
        <w:tc>
          <w:tcPr>
            <w:tcW w:w="993" w:type="dxa"/>
            <w:tcBorders>
              <w:top w:val="nil"/>
              <w:left w:val="nil"/>
              <w:bottom w:val="nil"/>
              <w:right w:val="nil"/>
            </w:tcBorders>
          </w:tcPr>
          <w:p w14:paraId="3FD3D9FF" w14:textId="77777777" w:rsidR="008A5ED0" w:rsidRPr="0071085D" w:rsidRDefault="008A5ED0" w:rsidP="00601620">
            <w:pPr>
              <w:widowControl w:val="0"/>
              <w:spacing w:line="480" w:lineRule="auto"/>
              <w:rPr>
                <w:sz w:val="20"/>
                <w:szCs w:val="20"/>
                <w:lang w:val="en-CA"/>
              </w:rPr>
            </w:pPr>
            <w:r w:rsidRPr="0071085D">
              <w:rPr>
                <w:sz w:val="20"/>
                <w:szCs w:val="20"/>
                <w:lang w:val="en-CA"/>
              </w:rPr>
              <w:t>.80</w:t>
            </w:r>
          </w:p>
        </w:tc>
        <w:tc>
          <w:tcPr>
            <w:tcW w:w="2126" w:type="dxa"/>
            <w:tcBorders>
              <w:top w:val="nil"/>
              <w:left w:val="nil"/>
              <w:bottom w:val="nil"/>
              <w:right w:val="nil"/>
            </w:tcBorders>
          </w:tcPr>
          <w:p w14:paraId="3D5EEE05" w14:textId="77777777" w:rsidR="008A5ED0" w:rsidRPr="0071085D" w:rsidRDefault="008A5ED0" w:rsidP="00601620">
            <w:pPr>
              <w:widowControl w:val="0"/>
              <w:spacing w:line="480" w:lineRule="auto"/>
              <w:rPr>
                <w:sz w:val="20"/>
                <w:szCs w:val="20"/>
                <w:lang w:val="en-CA"/>
              </w:rPr>
            </w:pPr>
            <w:r w:rsidRPr="0071085D">
              <w:rPr>
                <w:sz w:val="20"/>
                <w:szCs w:val="20"/>
                <w:lang w:val="en-CA"/>
              </w:rPr>
              <w:t>.88, .98, .81, .78, .91</w:t>
            </w:r>
          </w:p>
        </w:tc>
        <w:tc>
          <w:tcPr>
            <w:tcW w:w="1984" w:type="dxa"/>
            <w:tcBorders>
              <w:top w:val="nil"/>
              <w:left w:val="nil"/>
              <w:bottom w:val="nil"/>
              <w:right w:val="nil"/>
            </w:tcBorders>
          </w:tcPr>
          <w:p w14:paraId="7DDDFC3F" w14:textId="77777777" w:rsidR="008A5ED0" w:rsidRPr="0071085D" w:rsidRDefault="008A5ED0" w:rsidP="00601620">
            <w:pPr>
              <w:widowControl w:val="0"/>
              <w:spacing w:line="480" w:lineRule="auto"/>
              <w:rPr>
                <w:sz w:val="20"/>
                <w:szCs w:val="20"/>
                <w:lang w:val="en-CA"/>
              </w:rPr>
            </w:pPr>
            <w:r w:rsidRPr="0071085D">
              <w:rPr>
                <w:sz w:val="20"/>
                <w:szCs w:val="20"/>
                <w:lang w:val="en-CA"/>
              </w:rPr>
              <w:t>96, 250, 109, 206, 25</w:t>
            </w:r>
          </w:p>
        </w:tc>
        <w:tc>
          <w:tcPr>
            <w:tcW w:w="1276" w:type="dxa"/>
            <w:tcBorders>
              <w:top w:val="nil"/>
              <w:left w:val="nil"/>
              <w:bottom w:val="nil"/>
              <w:right w:val="nil"/>
            </w:tcBorders>
          </w:tcPr>
          <w:p w14:paraId="100C877A" w14:textId="60A79A5D" w:rsidR="008A5ED0" w:rsidRPr="0071085D" w:rsidRDefault="00521BD9" w:rsidP="00601620">
            <w:pPr>
              <w:widowControl w:val="0"/>
              <w:spacing w:line="480" w:lineRule="auto"/>
              <w:rPr>
                <w:sz w:val="20"/>
                <w:szCs w:val="20"/>
                <w:lang w:val="en-CA"/>
              </w:rPr>
            </w:pPr>
            <w:r w:rsidRPr="0071085D">
              <w:rPr>
                <w:sz w:val="20"/>
                <w:szCs w:val="20"/>
                <w:lang w:val="en-CA"/>
              </w:rPr>
              <w:t>2 (.01)</w:t>
            </w:r>
          </w:p>
        </w:tc>
      </w:tr>
      <w:tr w:rsidR="00521BD9" w:rsidRPr="0071085D" w14:paraId="4D43D5EF" w14:textId="4BB619E7" w:rsidTr="00F22341">
        <w:trPr>
          <w:trHeight w:val="385"/>
        </w:trPr>
        <w:tc>
          <w:tcPr>
            <w:tcW w:w="993" w:type="dxa"/>
            <w:tcBorders>
              <w:top w:val="nil"/>
              <w:left w:val="nil"/>
              <w:bottom w:val="single" w:sz="4" w:space="0" w:color="auto"/>
              <w:right w:val="nil"/>
            </w:tcBorders>
          </w:tcPr>
          <w:p w14:paraId="7FD8BE2B" w14:textId="77777777" w:rsidR="008A5ED0" w:rsidRPr="0071085D" w:rsidRDefault="008A5ED0" w:rsidP="00601620">
            <w:pPr>
              <w:widowControl w:val="0"/>
              <w:spacing w:line="480" w:lineRule="auto"/>
              <w:rPr>
                <w:sz w:val="20"/>
                <w:szCs w:val="20"/>
                <w:lang w:val="en-CA"/>
              </w:rPr>
            </w:pPr>
            <w:r w:rsidRPr="0071085D">
              <w:rPr>
                <w:sz w:val="20"/>
                <w:szCs w:val="20"/>
                <w:lang w:val="en-CA"/>
              </w:rPr>
              <w:t>6-class</w:t>
            </w:r>
          </w:p>
        </w:tc>
        <w:tc>
          <w:tcPr>
            <w:tcW w:w="1310" w:type="dxa"/>
            <w:tcBorders>
              <w:top w:val="nil"/>
              <w:left w:val="nil"/>
              <w:bottom w:val="single" w:sz="4" w:space="0" w:color="auto"/>
              <w:right w:val="nil"/>
            </w:tcBorders>
          </w:tcPr>
          <w:p w14:paraId="3904853C" w14:textId="77777777" w:rsidR="008A5ED0" w:rsidRPr="0071085D" w:rsidRDefault="008A5ED0" w:rsidP="00601620">
            <w:pPr>
              <w:widowControl w:val="0"/>
              <w:spacing w:line="480" w:lineRule="auto"/>
              <w:rPr>
                <w:sz w:val="20"/>
                <w:szCs w:val="20"/>
                <w:lang w:val="en-CA"/>
              </w:rPr>
            </w:pPr>
            <w:r w:rsidRPr="0071085D">
              <w:rPr>
                <w:sz w:val="20"/>
                <w:szCs w:val="20"/>
                <w:lang w:val="en-CA"/>
              </w:rPr>
              <w:t>-3409.96</w:t>
            </w:r>
          </w:p>
        </w:tc>
        <w:tc>
          <w:tcPr>
            <w:tcW w:w="1099" w:type="dxa"/>
            <w:tcBorders>
              <w:top w:val="nil"/>
              <w:left w:val="nil"/>
              <w:bottom w:val="single" w:sz="4" w:space="0" w:color="auto"/>
              <w:right w:val="nil"/>
            </w:tcBorders>
          </w:tcPr>
          <w:p w14:paraId="7D78342C" w14:textId="77777777" w:rsidR="008A5ED0" w:rsidRPr="0071085D" w:rsidRDefault="008A5ED0" w:rsidP="00601620">
            <w:pPr>
              <w:widowControl w:val="0"/>
              <w:spacing w:line="480" w:lineRule="auto"/>
              <w:rPr>
                <w:sz w:val="20"/>
                <w:szCs w:val="20"/>
                <w:lang w:val="en-CA"/>
              </w:rPr>
            </w:pPr>
            <w:r w:rsidRPr="0071085D">
              <w:rPr>
                <w:sz w:val="20"/>
                <w:szCs w:val="20"/>
                <w:lang w:val="en-CA"/>
              </w:rPr>
              <w:t>7555.96</w:t>
            </w:r>
          </w:p>
        </w:tc>
        <w:tc>
          <w:tcPr>
            <w:tcW w:w="1197" w:type="dxa"/>
            <w:tcBorders>
              <w:top w:val="nil"/>
              <w:left w:val="nil"/>
              <w:bottom w:val="single" w:sz="4" w:space="0" w:color="auto"/>
              <w:right w:val="nil"/>
            </w:tcBorders>
          </w:tcPr>
          <w:p w14:paraId="077672F9" w14:textId="77777777" w:rsidR="008A5ED0" w:rsidRPr="0071085D" w:rsidRDefault="008A5ED0" w:rsidP="00601620">
            <w:pPr>
              <w:widowControl w:val="0"/>
              <w:spacing w:line="480" w:lineRule="auto"/>
              <w:rPr>
                <w:sz w:val="20"/>
                <w:szCs w:val="20"/>
                <w:lang w:val="en-CA"/>
              </w:rPr>
            </w:pPr>
            <w:r w:rsidRPr="0071085D">
              <w:rPr>
                <w:sz w:val="20"/>
                <w:szCs w:val="20"/>
                <w:lang w:val="en-CA"/>
              </w:rPr>
              <w:t>7190.864</w:t>
            </w:r>
          </w:p>
        </w:tc>
        <w:tc>
          <w:tcPr>
            <w:tcW w:w="1400" w:type="dxa"/>
            <w:tcBorders>
              <w:top w:val="nil"/>
              <w:left w:val="nil"/>
              <w:bottom w:val="single" w:sz="4" w:space="0" w:color="auto"/>
              <w:right w:val="nil"/>
            </w:tcBorders>
          </w:tcPr>
          <w:p w14:paraId="66257F04" w14:textId="77777777" w:rsidR="008A5ED0" w:rsidRPr="0071085D" w:rsidRDefault="008A5ED0" w:rsidP="00601620">
            <w:pPr>
              <w:widowControl w:val="0"/>
              <w:spacing w:line="480" w:lineRule="auto"/>
              <w:rPr>
                <w:sz w:val="20"/>
                <w:szCs w:val="20"/>
                <w:lang w:val="en-CA"/>
              </w:rPr>
            </w:pPr>
            <w:r w:rsidRPr="0071085D">
              <w:rPr>
                <w:sz w:val="20"/>
                <w:szCs w:val="20"/>
                <w:lang w:val="en-CA"/>
              </w:rPr>
              <w:t>41.97 (.52)</w:t>
            </w:r>
          </w:p>
        </w:tc>
        <w:tc>
          <w:tcPr>
            <w:tcW w:w="1231" w:type="dxa"/>
            <w:tcBorders>
              <w:top w:val="nil"/>
              <w:left w:val="nil"/>
              <w:bottom w:val="single" w:sz="4" w:space="0" w:color="auto"/>
              <w:right w:val="nil"/>
            </w:tcBorders>
          </w:tcPr>
          <w:p w14:paraId="47869E02" w14:textId="77777777" w:rsidR="008A5ED0" w:rsidRPr="0071085D" w:rsidRDefault="008A5ED0" w:rsidP="00601620">
            <w:pPr>
              <w:widowControl w:val="0"/>
              <w:spacing w:line="480" w:lineRule="auto"/>
              <w:rPr>
                <w:sz w:val="20"/>
                <w:szCs w:val="20"/>
                <w:lang w:val="en-CA"/>
              </w:rPr>
            </w:pPr>
            <w:r w:rsidRPr="0071085D">
              <w:rPr>
                <w:sz w:val="20"/>
                <w:szCs w:val="20"/>
                <w:lang w:val="en-CA"/>
              </w:rPr>
              <w:t>41.97 (.03)</w:t>
            </w:r>
          </w:p>
        </w:tc>
        <w:tc>
          <w:tcPr>
            <w:tcW w:w="993" w:type="dxa"/>
            <w:tcBorders>
              <w:top w:val="nil"/>
              <w:left w:val="nil"/>
              <w:bottom w:val="single" w:sz="4" w:space="0" w:color="auto"/>
              <w:right w:val="nil"/>
            </w:tcBorders>
          </w:tcPr>
          <w:p w14:paraId="12689F9A" w14:textId="77777777" w:rsidR="008A5ED0" w:rsidRPr="0071085D" w:rsidRDefault="008A5ED0" w:rsidP="00601620">
            <w:pPr>
              <w:widowControl w:val="0"/>
              <w:spacing w:line="480" w:lineRule="auto"/>
              <w:rPr>
                <w:sz w:val="20"/>
                <w:szCs w:val="20"/>
                <w:lang w:val="en-CA"/>
              </w:rPr>
            </w:pPr>
            <w:r w:rsidRPr="0071085D">
              <w:rPr>
                <w:sz w:val="20"/>
                <w:szCs w:val="20"/>
                <w:lang w:val="en-CA"/>
              </w:rPr>
              <w:t>.79</w:t>
            </w:r>
          </w:p>
        </w:tc>
        <w:tc>
          <w:tcPr>
            <w:tcW w:w="2126" w:type="dxa"/>
            <w:tcBorders>
              <w:top w:val="nil"/>
              <w:left w:val="nil"/>
              <w:bottom w:val="single" w:sz="4" w:space="0" w:color="auto"/>
              <w:right w:val="nil"/>
            </w:tcBorders>
          </w:tcPr>
          <w:p w14:paraId="52BF877F" w14:textId="77777777" w:rsidR="008A5ED0" w:rsidRPr="0071085D" w:rsidRDefault="008A5ED0" w:rsidP="00601620">
            <w:pPr>
              <w:widowControl w:val="0"/>
              <w:spacing w:line="480" w:lineRule="auto"/>
              <w:rPr>
                <w:sz w:val="20"/>
                <w:szCs w:val="20"/>
                <w:lang w:val="en-CA"/>
              </w:rPr>
            </w:pPr>
            <w:r w:rsidRPr="0071085D">
              <w:rPr>
                <w:sz w:val="20"/>
                <w:szCs w:val="20"/>
                <w:lang w:val="en-CA"/>
              </w:rPr>
              <w:t>.77, .98, .90, .80, .89, .80</w:t>
            </w:r>
          </w:p>
        </w:tc>
        <w:tc>
          <w:tcPr>
            <w:tcW w:w="1984" w:type="dxa"/>
            <w:tcBorders>
              <w:top w:val="nil"/>
              <w:left w:val="nil"/>
              <w:bottom w:val="single" w:sz="4" w:space="0" w:color="auto"/>
              <w:right w:val="nil"/>
            </w:tcBorders>
          </w:tcPr>
          <w:p w14:paraId="18BE07F4" w14:textId="77777777" w:rsidR="008A5ED0" w:rsidRPr="0071085D" w:rsidRDefault="008A5ED0" w:rsidP="00601620">
            <w:pPr>
              <w:widowControl w:val="0"/>
              <w:spacing w:line="480" w:lineRule="auto"/>
              <w:rPr>
                <w:sz w:val="20"/>
                <w:szCs w:val="20"/>
                <w:lang w:val="en-CA"/>
              </w:rPr>
            </w:pPr>
            <w:r w:rsidRPr="0071085D">
              <w:rPr>
                <w:sz w:val="20"/>
                <w:szCs w:val="20"/>
                <w:lang w:val="en-CA"/>
              </w:rPr>
              <w:t>107, 100, 43, 222, 113, 101</w:t>
            </w:r>
          </w:p>
        </w:tc>
        <w:tc>
          <w:tcPr>
            <w:tcW w:w="1276" w:type="dxa"/>
            <w:tcBorders>
              <w:top w:val="nil"/>
              <w:left w:val="nil"/>
              <w:bottom w:val="single" w:sz="4" w:space="0" w:color="auto"/>
              <w:right w:val="nil"/>
            </w:tcBorders>
          </w:tcPr>
          <w:p w14:paraId="240C90CE" w14:textId="2E8EAC20" w:rsidR="008A5ED0" w:rsidRPr="0071085D" w:rsidRDefault="00521BD9" w:rsidP="00601620">
            <w:pPr>
              <w:widowControl w:val="0"/>
              <w:spacing w:line="480" w:lineRule="auto"/>
              <w:rPr>
                <w:sz w:val="20"/>
                <w:szCs w:val="20"/>
                <w:lang w:val="en-CA"/>
              </w:rPr>
            </w:pPr>
            <w:r w:rsidRPr="0071085D">
              <w:rPr>
                <w:sz w:val="20"/>
                <w:szCs w:val="20"/>
                <w:lang w:val="en-CA"/>
              </w:rPr>
              <w:t>9 (.05)</w:t>
            </w:r>
          </w:p>
        </w:tc>
      </w:tr>
    </w:tbl>
    <w:p w14:paraId="56B46DE7" w14:textId="77777777" w:rsidR="003753A1" w:rsidRPr="0071085D" w:rsidRDefault="003753A1" w:rsidP="00601620">
      <w:pPr>
        <w:widowControl w:val="0"/>
        <w:spacing w:after="0" w:line="480" w:lineRule="auto"/>
        <w:ind w:left="-425"/>
        <w:rPr>
          <w:i/>
          <w:sz w:val="20"/>
          <w:szCs w:val="20"/>
          <w:lang w:val="en-CA"/>
        </w:rPr>
      </w:pPr>
    </w:p>
    <w:p w14:paraId="3E7317CD" w14:textId="64136271" w:rsidR="008D15A0" w:rsidRPr="0071085D" w:rsidRDefault="00521BD9" w:rsidP="00C850A2">
      <w:pPr>
        <w:widowControl w:val="0"/>
        <w:spacing w:after="0" w:line="240" w:lineRule="auto"/>
        <w:ind w:left="-425"/>
        <w:rPr>
          <w:sz w:val="20"/>
          <w:szCs w:val="20"/>
          <w:lang w:val="en-CA"/>
        </w:rPr>
        <w:sectPr w:rsidR="008D15A0" w:rsidRPr="0071085D" w:rsidSect="00E56570">
          <w:pgSz w:w="15840" w:h="12240" w:orient="landscape"/>
          <w:pgMar w:top="1440" w:right="1440" w:bottom="1440" w:left="1440" w:header="709" w:footer="709" w:gutter="0"/>
          <w:cols w:space="708"/>
          <w:titlePg/>
          <w:docGrid w:linePitch="360"/>
        </w:sectPr>
      </w:pPr>
      <w:r w:rsidRPr="0071085D">
        <w:rPr>
          <w:i/>
          <w:sz w:val="20"/>
          <w:szCs w:val="20"/>
          <w:lang w:val="en-CA"/>
        </w:rPr>
        <w:t xml:space="preserve">Note. </w:t>
      </w:r>
      <w:r w:rsidRPr="0071085D">
        <w:rPr>
          <w:sz w:val="20"/>
          <w:szCs w:val="20"/>
          <w:lang w:val="en-CA"/>
        </w:rPr>
        <w:t>BIC=Bayesian Information Criterion; LMR-LRT=Lo-Mendell-Rubin likelihood ratio test; BLRT=</w:t>
      </w:r>
      <w:r w:rsidRPr="0071085D">
        <w:rPr>
          <w:lang w:val="en-CA"/>
        </w:rPr>
        <w:t xml:space="preserve"> </w:t>
      </w:r>
      <w:r w:rsidRPr="0071085D">
        <w:rPr>
          <w:sz w:val="20"/>
          <w:szCs w:val="20"/>
          <w:lang w:val="en-CA"/>
        </w:rPr>
        <w:t>bootstrap likelihood ratio test; BVR=Bivariate residuals</w:t>
      </w:r>
      <w:r w:rsidR="0043026C" w:rsidRPr="0071085D">
        <w:rPr>
          <w:sz w:val="20"/>
          <w:szCs w:val="20"/>
          <w:lang w:val="en-CA"/>
        </w:rPr>
        <w:t xml:space="preserve">; significant standardized </w:t>
      </w:r>
      <w:r w:rsidR="00F248EE" w:rsidRPr="0071085D">
        <w:rPr>
          <w:sz w:val="20"/>
          <w:szCs w:val="20"/>
          <w:lang w:val="en-CA"/>
        </w:rPr>
        <w:t xml:space="preserve">bivariate </w:t>
      </w:r>
      <w:r w:rsidR="0043026C" w:rsidRPr="0071085D">
        <w:rPr>
          <w:sz w:val="20"/>
          <w:szCs w:val="20"/>
          <w:lang w:val="en-CA"/>
        </w:rPr>
        <w:t>residuals &gt; 1.96</w:t>
      </w:r>
      <w:r w:rsidRPr="0071085D">
        <w:rPr>
          <w:sz w:val="20"/>
          <w:szCs w:val="20"/>
          <w:lang w:val="en-CA"/>
        </w:rPr>
        <w:t xml:space="preserve">. </w:t>
      </w:r>
    </w:p>
    <w:tbl>
      <w:tblPr>
        <w:tblStyle w:val="Grilledutableau"/>
        <w:tblW w:w="9725" w:type="dxa"/>
        <w:tblLayout w:type="fixed"/>
        <w:tblLook w:val="04A0" w:firstRow="1" w:lastRow="0" w:firstColumn="1" w:lastColumn="0" w:noHBand="0" w:noVBand="1"/>
      </w:tblPr>
      <w:tblGrid>
        <w:gridCol w:w="3500"/>
        <w:gridCol w:w="1167"/>
        <w:gridCol w:w="130"/>
        <w:gridCol w:w="1167"/>
        <w:gridCol w:w="1037"/>
        <w:gridCol w:w="129"/>
        <w:gridCol w:w="1297"/>
        <w:gridCol w:w="1212"/>
        <w:gridCol w:w="86"/>
      </w:tblGrid>
      <w:tr w:rsidR="009876BE" w:rsidRPr="0071085D" w14:paraId="03359FC7" w14:textId="77777777" w:rsidTr="00F22341">
        <w:trPr>
          <w:trHeight w:val="438"/>
        </w:trPr>
        <w:tc>
          <w:tcPr>
            <w:tcW w:w="9725" w:type="dxa"/>
            <w:gridSpan w:val="9"/>
            <w:tcBorders>
              <w:top w:val="nil"/>
              <w:left w:val="nil"/>
              <w:bottom w:val="nil"/>
              <w:right w:val="nil"/>
            </w:tcBorders>
          </w:tcPr>
          <w:p w14:paraId="6ABD821E" w14:textId="7E13ADB6" w:rsidR="009876BE" w:rsidRPr="0071085D" w:rsidRDefault="009876BE" w:rsidP="00601620">
            <w:pPr>
              <w:widowControl w:val="0"/>
              <w:spacing w:line="480" w:lineRule="auto"/>
              <w:rPr>
                <w:i/>
                <w:sz w:val="20"/>
                <w:szCs w:val="20"/>
                <w:lang w:val="en-CA"/>
              </w:rPr>
            </w:pPr>
            <w:r w:rsidRPr="0071085D">
              <w:rPr>
                <w:i/>
                <w:sz w:val="20"/>
                <w:szCs w:val="20"/>
                <w:lang w:val="en-CA"/>
              </w:rPr>
              <w:lastRenderedPageBreak/>
              <w:t>Table 3</w:t>
            </w:r>
          </w:p>
        </w:tc>
      </w:tr>
      <w:tr w:rsidR="009876BE" w:rsidRPr="0071085D" w14:paraId="79A2F1FC" w14:textId="77777777" w:rsidTr="00F22341">
        <w:trPr>
          <w:trHeight w:val="458"/>
        </w:trPr>
        <w:tc>
          <w:tcPr>
            <w:tcW w:w="9725" w:type="dxa"/>
            <w:gridSpan w:val="9"/>
            <w:tcBorders>
              <w:top w:val="nil"/>
              <w:left w:val="nil"/>
              <w:bottom w:val="single" w:sz="4" w:space="0" w:color="auto"/>
              <w:right w:val="nil"/>
            </w:tcBorders>
          </w:tcPr>
          <w:p w14:paraId="14577151" w14:textId="45A7E915" w:rsidR="009876BE" w:rsidRPr="0071085D" w:rsidRDefault="009876BE" w:rsidP="00601620">
            <w:pPr>
              <w:widowControl w:val="0"/>
              <w:spacing w:line="480" w:lineRule="auto"/>
              <w:rPr>
                <w:sz w:val="20"/>
                <w:szCs w:val="20"/>
                <w:lang w:val="en-CA"/>
              </w:rPr>
            </w:pPr>
            <w:r w:rsidRPr="0071085D">
              <w:rPr>
                <w:i/>
                <w:sz w:val="20"/>
                <w:szCs w:val="20"/>
                <w:lang w:val="en-CA"/>
              </w:rPr>
              <w:t>Risk-Taking Behaviors by Latent Classes</w:t>
            </w:r>
          </w:p>
        </w:tc>
      </w:tr>
      <w:tr w:rsidR="000D6B8C" w:rsidRPr="0071085D" w14:paraId="4DD49365" w14:textId="77777777" w:rsidTr="00BE7EF5">
        <w:trPr>
          <w:gridAfter w:val="1"/>
          <w:wAfter w:w="86" w:type="dxa"/>
          <w:trHeight w:val="1334"/>
        </w:trPr>
        <w:tc>
          <w:tcPr>
            <w:tcW w:w="3500" w:type="dxa"/>
            <w:tcBorders>
              <w:left w:val="nil"/>
              <w:bottom w:val="single" w:sz="4" w:space="0" w:color="auto"/>
              <w:right w:val="nil"/>
            </w:tcBorders>
          </w:tcPr>
          <w:p w14:paraId="5A4950FE" w14:textId="21DE67C3" w:rsidR="000D6B8C" w:rsidRPr="0071085D" w:rsidRDefault="000D6B8C" w:rsidP="00601620">
            <w:pPr>
              <w:widowControl w:val="0"/>
              <w:spacing w:line="480" w:lineRule="auto"/>
              <w:rPr>
                <w:i/>
                <w:sz w:val="20"/>
                <w:szCs w:val="20"/>
                <w:lang w:val="en-CA"/>
              </w:rPr>
            </w:pPr>
            <w:r w:rsidRPr="0071085D">
              <w:rPr>
                <w:i/>
                <w:sz w:val="20"/>
                <w:szCs w:val="20"/>
                <w:lang w:val="en-CA"/>
              </w:rPr>
              <w:t>Risk-taking indicators</w:t>
            </w:r>
          </w:p>
        </w:tc>
        <w:tc>
          <w:tcPr>
            <w:tcW w:w="1167" w:type="dxa"/>
            <w:tcBorders>
              <w:left w:val="nil"/>
              <w:bottom w:val="single" w:sz="4" w:space="0" w:color="auto"/>
              <w:right w:val="nil"/>
            </w:tcBorders>
          </w:tcPr>
          <w:p w14:paraId="2D74A650" w14:textId="77777777" w:rsidR="000D6B8C" w:rsidRPr="0071085D" w:rsidRDefault="000D6B8C" w:rsidP="00601620">
            <w:pPr>
              <w:widowControl w:val="0"/>
              <w:spacing w:line="480" w:lineRule="auto"/>
              <w:rPr>
                <w:sz w:val="20"/>
                <w:szCs w:val="20"/>
                <w:lang w:val="en-CA"/>
              </w:rPr>
            </w:pPr>
            <w:r w:rsidRPr="0071085D">
              <w:rPr>
                <w:sz w:val="20"/>
                <w:szCs w:val="20"/>
                <w:lang w:val="en-CA"/>
              </w:rPr>
              <w:t xml:space="preserve">All participants </w:t>
            </w:r>
          </w:p>
          <w:p w14:paraId="49B4F888" w14:textId="64ACA0AC" w:rsidR="000D6B8C" w:rsidRPr="0071085D" w:rsidRDefault="000D6B8C" w:rsidP="00601620">
            <w:pPr>
              <w:widowControl w:val="0"/>
              <w:spacing w:line="480" w:lineRule="auto"/>
              <w:rPr>
                <w:sz w:val="20"/>
                <w:szCs w:val="20"/>
                <w:lang w:val="en-CA"/>
              </w:rPr>
            </w:pPr>
            <w:r w:rsidRPr="0071085D">
              <w:rPr>
                <w:sz w:val="20"/>
                <w:szCs w:val="20"/>
                <w:lang w:val="en-CA"/>
              </w:rPr>
              <w:t>(N = 602)</w:t>
            </w:r>
          </w:p>
        </w:tc>
        <w:tc>
          <w:tcPr>
            <w:tcW w:w="1297" w:type="dxa"/>
            <w:gridSpan w:val="2"/>
            <w:tcBorders>
              <w:left w:val="nil"/>
              <w:bottom w:val="single" w:sz="4" w:space="0" w:color="auto"/>
              <w:right w:val="nil"/>
            </w:tcBorders>
          </w:tcPr>
          <w:p w14:paraId="4E344A51" w14:textId="77777777" w:rsidR="000D6B8C" w:rsidRPr="0071085D" w:rsidRDefault="000D6B8C" w:rsidP="00601620">
            <w:pPr>
              <w:widowControl w:val="0"/>
              <w:spacing w:line="480" w:lineRule="auto"/>
              <w:rPr>
                <w:sz w:val="20"/>
                <w:szCs w:val="20"/>
                <w:lang w:val="en-CA"/>
              </w:rPr>
            </w:pPr>
            <w:r w:rsidRPr="0071085D">
              <w:rPr>
                <w:sz w:val="20"/>
                <w:szCs w:val="20"/>
                <w:lang w:val="en-CA"/>
              </w:rPr>
              <w:t xml:space="preserve">Inactive </w:t>
            </w:r>
            <w:proofErr w:type="gramStart"/>
            <w:r w:rsidRPr="0071085D">
              <w:rPr>
                <w:sz w:val="20"/>
                <w:szCs w:val="20"/>
                <w:lang w:val="en-CA"/>
              </w:rPr>
              <w:t>low-risk</w:t>
            </w:r>
            <w:proofErr w:type="gramEnd"/>
            <w:r w:rsidRPr="0071085D">
              <w:rPr>
                <w:sz w:val="20"/>
                <w:szCs w:val="20"/>
                <w:lang w:val="en-CA"/>
              </w:rPr>
              <w:t xml:space="preserve"> </w:t>
            </w:r>
          </w:p>
          <w:p w14:paraId="3EAF6574" w14:textId="3B3DD57F" w:rsidR="000D6B8C" w:rsidRPr="0071085D" w:rsidRDefault="000D6B8C" w:rsidP="00601620">
            <w:pPr>
              <w:widowControl w:val="0"/>
              <w:spacing w:line="480" w:lineRule="auto"/>
              <w:rPr>
                <w:sz w:val="20"/>
                <w:szCs w:val="20"/>
                <w:lang w:val="en-CA"/>
              </w:rPr>
            </w:pPr>
            <w:r w:rsidRPr="0071085D">
              <w:rPr>
                <w:sz w:val="20"/>
                <w:szCs w:val="20"/>
                <w:lang w:val="en-CA"/>
              </w:rPr>
              <w:t>(13.5%)</w:t>
            </w:r>
          </w:p>
        </w:tc>
        <w:tc>
          <w:tcPr>
            <w:tcW w:w="1037" w:type="dxa"/>
            <w:tcBorders>
              <w:left w:val="nil"/>
              <w:bottom w:val="single" w:sz="4" w:space="0" w:color="auto"/>
              <w:right w:val="nil"/>
            </w:tcBorders>
          </w:tcPr>
          <w:p w14:paraId="69D3EA21" w14:textId="7BF4314A" w:rsidR="000D6B8C" w:rsidRPr="0071085D" w:rsidRDefault="000D6B8C" w:rsidP="00601620">
            <w:pPr>
              <w:widowControl w:val="0"/>
              <w:spacing w:line="480" w:lineRule="auto"/>
              <w:rPr>
                <w:sz w:val="20"/>
                <w:szCs w:val="20"/>
                <w:lang w:val="en-CA"/>
              </w:rPr>
            </w:pPr>
            <w:r w:rsidRPr="0071085D">
              <w:rPr>
                <w:sz w:val="20"/>
                <w:szCs w:val="20"/>
                <w:lang w:val="en-CA"/>
              </w:rPr>
              <w:t>Active low-risk (34.7%)</w:t>
            </w:r>
          </w:p>
        </w:tc>
        <w:tc>
          <w:tcPr>
            <w:tcW w:w="1426" w:type="dxa"/>
            <w:gridSpan w:val="2"/>
            <w:tcBorders>
              <w:left w:val="nil"/>
              <w:bottom w:val="single" w:sz="4" w:space="0" w:color="auto"/>
              <w:right w:val="nil"/>
            </w:tcBorders>
          </w:tcPr>
          <w:p w14:paraId="4F2B7F2C" w14:textId="77777777" w:rsidR="000D6B8C" w:rsidRPr="0071085D" w:rsidRDefault="000D6B8C" w:rsidP="00601620">
            <w:pPr>
              <w:widowControl w:val="0"/>
              <w:spacing w:line="480" w:lineRule="auto"/>
              <w:rPr>
                <w:sz w:val="20"/>
                <w:szCs w:val="20"/>
                <w:lang w:val="en-CA"/>
              </w:rPr>
            </w:pPr>
            <w:r w:rsidRPr="0071085D">
              <w:rPr>
                <w:sz w:val="20"/>
                <w:szCs w:val="20"/>
                <w:lang w:val="en-CA"/>
              </w:rPr>
              <w:t xml:space="preserve">Mid-risk </w:t>
            </w:r>
          </w:p>
          <w:p w14:paraId="32B8BB17" w14:textId="77777777" w:rsidR="000D6B8C" w:rsidRPr="0071085D" w:rsidRDefault="000D6B8C" w:rsidP="00601620">
            <w:pPr>
              <w:widowControl w:val="0"/>
              <w:spacing w:line="480" w:lineRule="auto"/>
              <w:rPr>
                <w:sz w:val="20"/>
                <w:szCs w:val="20"/>
                <w:lang w:val="en-CA"/>
              </w:rPr>
            </w:pPr>
          </w:p>
          <w:p w14:paraId="01C9EFC6" w14:textId="235FF14C" w:rsidR="000D6B8C" w:rsidRPr="0071085D" w:rsidRDefault="000D6B8C" w:rsidP="00601620">
            <w:pPr>
              <w:widowControl w:val="0"/>
              <w:spacing w:line="480" w:lineRule="auto"/>
              <w:rPr>
                <w:sz w:val="20"/>
                <w:szCs w:val="20"/>
                <w:lang w:val="en-CA"/>
              </w:rPr>
            </w:pPr>
            <w:r w:rsidRPr="0071085D">
              <w:rPr>
                <w:sz w:val="20"/>
                <w:szCs w:val="20"/>
                <w:lang w:val="en-CA"/>
              </w:rPr>
              <w:t>(42.4%)</w:t>
            </w:r>
          </w:p>
        </w:tc>
        <w:tc>
          <w:tcPr>
            <w:tcW w:w="1212" w:type="dxa"/>
            <w:tcBorders>
              <w:left w:val="nil"/>
              <w:bottom w:val="single" w:sz="4" w:space="0" w:color="auto"/>
              <w:right w:val="nil"/>
            </w:tcBorders>
          </w:tcPr>
          <w:p w14:paraId="5C070DA4" w14:textId="77777777" w:rsidR="000D6B8C" w:rsidRPr="0071085D" w:rsidRDefault="000D6B8C" w:rsidP="00601620">
            <w:pPr>
              <w:widowControl w:val="0"/>
              <w:spacing w:line="480" w:lineRule="auto"/>
              <w:rPr>
                <w:sz w:val="20"/>
                <w:szCs w:val="20"/>
                <w:lang w:val="en-CA"/>
              </w:rPr>
            </w:pPr>
            <w:r w:rsidRPr="0071085D">
              <w:rPr>
                <w:sz w:val="20"/>
                <w:szCs w:val="20"/>
                <w:lang w:val="en-CA"/>
              </w:rPr>
              <w:t xml:space="preserve">High-risk </w:t>
            </w:r>
          </w:p>
          <w:p w14:paraId="6ACEFA39" w14:textId="77777777" w:rsidR="000D6B8C" w:rsidRPr="0071085D" w:rsidRDefault="000D6B8C" w:rsidP="00601620">
            <w:pPr>
              <w:widowControl w:val="0"/>
              <w:spacing w:line="480" w:lineRule="auto"/>
              <w:rPr>
                <w:sz w:val="20"/>
                <w:szCs w:val="20"/>
                <w:lang w:val="en-CA"/>
              </w:rPr>
            </w:pPr>
          </w:p>
          <w:p w14:paraId="3B00351A" w14:textId="0D32A41F" w:rsidR="000D6B8C" w:rsidRPr="0071085D" w:rsidRDefault="000D6B8C" w:rsidP="00601620">
            <w:pPr>
              <w:widowControl w:val="0"/>
              <w:spacing w:line="480" w:lineRule="auto"/>
              <w:rPr>
                <w:sz w:val="20"/>
                <w:szCs w:val="20"/>
                <w:lang w:val="en-CA"/>
              </w:rPr>
            </w:pPr>
            <w:r w:rsidRPr="0071085D">
              <w:rPr>
                <w:sz w:val="20"/>
                <w:szCs w:val="20"/>
                <w:lang w:val="en-CA"/>
              </w:rPr>
              <w:t>(9.5%)</w:t>
            </w:r>
          </w:p>
        </w:tc>
      </w:tr>
      <w:tr w:rsidR="000D6B8C" w:rsidRPr="0071085D" w14:paraId="0FB6A82D" w14:textId="77777777" w:rsidTr="00BE7EF5">
        <w:trPr>
          <w:gridAfter w:val="1"/>
          <w:wAfter w:w="86" w:type="dxa"/>
          <w:trHeight w:val="458"/>
        </w:trPr>
        <w:tc>
          <w:tcPr>
            <w:tcW w:w="9639" w:type="dxa"/>
            <w:gridSpan w:val="8"/>
            <w:tcBorders>
              <w:left w:val="nil"/>
              <w:bottom w:val="single" w:sz="4" w:space="0" w:color="auto"/>
              <w:right w:val="nil"/>
            </w:tcBorders>
          </w:tcPr>
          <w:p w14:paraId="48D57DC9" w14:textId="78DC0E55" w:rsidR="000D6B8C" w:rsidRPr="0071085D" w:rsidRDefault="000D6B8C" w:rsidP="00601620">
            <w:pPr>
              <w:widowControl w:val="0"/>
              <w:spacing w:line="480" w:lineRule="auto"/>
              <w:rPr>
                <w:sz w:val="20"/>
                <w:szCs w:val="20"/>
                <w:lang w:val="en-CA"/>
              </w:rPr>
            </w:pPr>
            <w:r w:rsidRPr="0071085D">
              <w:rPr>
                <w:sz w:val="20"/>
                <w:szCs w:val="20"/>
                <w:lang w:val="en-CA"/>
              </w:rPr>
              <w:t>(1) Early sexual onset (%)</w:t>
            </w:r>
          </w:p>
        </w:tc>
      </w:tr>
      <w:tr w:rsidR="000D6B8C" w:rsidRPr="0071085D" w14:paraId="4AFFE822" w14:textId="77777777" w:rsidTr="00BE7EF5">
        <w:trPr>
          <w:gridAfter w:val="1"/>
          <w:wAfter w:w="86" w:type="dxa"/>
          <w:trHeight w:val="458"/>
        </w:trPr>
        <w:tc>
          <w:tcPr>
            <w:tcW w:w="3500" w:type="dxa"/>
            <w:tcBorders>
              <w:top w:val="single" w:sz="4" w:space="0" w:color="auto"/>
              <w:left w:val="nil"/>
              <w:bottom w:val="nil"/>
              <w:right w:val="nil"/>
            </w:tcBorders>
          </w:tcPr>
          <w:p w14:paraId="4EA2A529" w14:textId="4D9A45E6" w:rsidR="000D6B8C" w:rsidRPr="0071085D" w:rsidRDefault="000D6B8C" w:rsidP="00601620">
            <w:pPr>
              <w:widowControl w:val="0"/>
              <w:spacing w:line="480" w:lineRule="auto"/>
              <w:ind w:left="175"/>
              <w:rPr>
                <w:sz w:val="20"/>
                <w:szCs w:val="20"/>
                <w:lang w:val="en-CA"/>
              </w:rPr>
            </w:pPr>
            <w:r w:rsidRPr="0071085D">
              <w:rPr>
                <w:sz w:val="20"/>
                <w:szCs w:val="20"/>
                <w:lang w:val="en-CA"/>
              </w:rPr>
              <w:t>No early sexual onset</w:t>
            </w:r>
          </w:p>
        </w:tc>
        <w:tc>
          <w:tcPr>
            <w:tcW w:w="1297" w:type="dxa"/>
            <w:gridSpan w:val="2"/>
            <w:tcBorders>
              <w:top w:val="single" w:sz="4" w:space="0" w:color="auto"/>
              <w:left w:val="nil"/>
              <w:bottom w:val="nil"/>
              <w:right w:val="nil"/>
            </w:tcBorders>
          </w:tcPr>
          <w:p w14:paraId="50A6E7A4" w14:textId="32786039" w:rsidR="000D6B8C" w:rsidRPr="0071085D" w:rsidRDefault="000D6B8C" w:rsidP="00601620">
            <w:pPr>
              <w:widowControl w:val="0"/>
              <w:spacing w:line="480" w:lineRule="auto"/>
              <w:rPr>
                <w:sz w:val="20"/>
                <w:szCs w:val="20"/>
                <w:lang w:val="en-CA"/>
              </w:rPr>
            </w:pPr>
            <w:r w:rsidRPr="0071085D">
              <w:rPr>
                <w:sz w:val="20"/>
                <w:szCs w:val="20"/>
                <w:lang w:val="en-CA"/>
              </w:rPr>
              <w:t>69.9</w:t>
            </w:r>
          </w:p>
        </w:tc>
        <w:tc>
          <w:tcPr>
            <w:tcW w:w="1167" w:type="dxa"/>
            <w:tcBorders>
              <w:top w:val="single" w:sz="4" w:space="0" w:color="auto"/>
              <w:left w:val="nil"/>
              <w:bottom w:val="nil"/>
              <w:right w:val="nil"/>
            </w:tcBorders>
          </w:tcPr>
          <w:p w14:paraId="2E115EF0" w14:textId="4F10321D" w:rsidR="000D6B8C" w:rsidRPr="0071085D" w:rsidRDefault="000D6B8C" w:rsidP="00601620">
            <w:pPr>
              <w:widowControl w:val="0"/>
              <w:spacing w:line="480" w:lineRule="auto"/>
              <w:rPr>
                <w:sz w:val="20"/>
                <w:szCs w:val="20"/>
                <w:lang w:val="en-CA"/>
              </w:rPr>
            </w:pPr>
            <w:r w:rsidRPr="0071085D">
              <w:rPr>
                <w:sz w:val="20"/>
                <w:szCs w:val="20"/>
                <w:lang w:val="en-CA"/>
              </w:rPr>
              <w:t>100.0</w:t>
            </w:r>
          </w:p>
        </w:tc>
        <w:tc>
          <w:tcPr>
            <w:tcW w:w="1166" w:type="dxa"/>
            <w:gridSpan w:val="2"/>
            <w:tcBorders>
              <w:top w:val="single" w:sz="4" w:space="0" w:color="auto"/>
              <w:left w:val="nil"/>
              <w:bottom w:val="nil"/>
              <w:right w:val="nil"/>
            </w:tcBorders>
          </w:tcPr>
          <w:p w14:paraId="6B73E74A" w14:textId="3B5F6059" w:rsidR="000D6B8C" w:rsidRPr="0071085D" w:rsidRDefault="000D6B8C" w:rsidP="00601620">
            <w:pPr>
              <w:widowControl w:val="0"/>
              <w:spacing w:line="480" w:lineRule="auto"/>
              <w:rPr>
                <w:sz w:val="20"/>
                <w:szCs w:val="20"/>
                <w:lang w:val="en-CA"/>
              </w:rPr>
            </w:pPr>
            <w:r w:rsidRPr="0071085D">
              <w:rPr>
                <w:sz w:val="20"/>
                <w:szCs w:val="20"/>
                <w:lang w:val="en-CA"/>
              </w:rPr>
              <w:t>78.0</w:t>
            </w:r>
          </w:p>
        </w:tc>
        <w:tc>
          <w:tcPr>
            <w:tcW w:w="1297" w:type="dxa"/>
            <w:tcBorders>
              <w:top w:val="single" w:sz="4" w:space="0" w:color="auto"/>
              <w:left w:val="nil"/>
              <w:bottom w:val="nil"/>
              <w:right w:val="nil"/>
            </w:tcBorders>
          </w:tcPr>
          <w:p w14:paraId="587CF45F" w14:textId="54FFF9B1" w:rsidR="000D6B8C" w:rsidRPr="0071085D" w:rsidRDefault="000D6B8C" w:rsidP="00601620">
            <w:pPr>
              <w:widowControl w:val="0"/>
              <w:spacing w:line="480" w:lineRule="auto"/>
              <w:rPr>
                <w:sz w:val="20"/>
                <w:szCs w:val="20"/>
                <w:lang w:val="en-CA"/>
              </w:rPr>
            </w:pPr>
            <w:r w:rsidRPr="0071085D">
              <w:rPr>
                <w:sz w:val="20"/>
                <w:szCs w:val="20"/>
                <w:lang w:val="en-CA"/>
              </w:rPr>
              <w:t>62.2</w:t>
            </w:r>
          </w:p>
        </w:tc>
        <w:tc>
          <w:tcPr>
            <w:tcW w:w="1212" w:type="dxa"/>
            <w:tcBorders>
              <w:top w:val="single" w:sz="4" w:space="0" w:color="auto"/>
              <w:left w:val="nil"/>
              <w:bottom w:val="nil"/>
              <w:right w:val="nil"/>
            </w:tcBorders>
          </w:tcPr>
          <w:p w14:paraId="4CB7CF55" w14:textId="7B1AE073" w:rsidR="000D6B8C" w:rsidRPr="0071085D" w:rsidRDefault="000D6B8C" w:rsidP="00601620">
            <w:pPr>
              <w:widowControl w:val="0"/>
              <w:spacing w:line="480" w:lineRule="auto"/>
              <w:rPr>
                <w:sz w:val="20"/>
                <w:szCs w:val="20"/>
                <w:lang w:val="en-CA"/>
              </w:rPr>
            </w:pPr>
            <w:r w:rsidRPr="0071085D">
              <w:rPr>
                <w:sz w:val="20"/>
                <w:szCs w:val="20"/>
                <w:lang w:val="en-CA"/>
              </w:rPr>
              <w:t>33.6</w:t>
            </w:r>
          </w:p>
        </w:tc>
      </w:tr>
      <w:tr w:rsidR="000D6B8C" w:rsidRPr="0071085D" w14:paraId="493CAACD" w14:textId="77777777" w:rsidTr="00BE7EF5">
        <w:trPr>
          <w:gridAfter w:val="1"/>
          <w:wAfter w:w="86" w:type="dxa"/>
          <w:trHeight w:val="438"/>
        </w:trPr>
        <w:tc>
          <w:tcPr>
            <w:tcW w:w="3500" w:type="dxa"/>
            <w:tcBorders>
              <w:top w:val="nil"/>
              <w:left w:val="nil"/>
              <w:bottom w:val="nil"/>
              <w:right w:val="nil"/>
            </w:tcBorders>
          </w:tcPr>
          <w:p w14:paraId="5679377E" w14:textId="6311CD36" w:rsidR="000D6B8C" w:rsidRPr="0071085D" w:rsidRDefault="000D6B8C" w:rsidP="00601620">
            <w:pPr>
              <w:widowControl w:val="0"/>
              <w:spacing w:line="480" w:lineRule="auto"/>
              <w:ind w:left="175"/>
              <w:rPr>
                <w:sz w:val="20"/>
                <w:szCs w:val="20"/>
                <w:lang w:val="en-CA"/>
              </w:rPr>
            </w:pPr>
            <w:r w:rsidRPr="0071085D">
              <w:rPr>
                <w:sz w:val="20"/>
                <w:szCs w:val="20"/>
                <w:lang w:val="en-CA"/>
              </w:rPr>
              <w:t>1</w:t>
            </w:r>
            <w:r w:rsidRPr="0071085D">
              <w:rPr>
                <w:sz w:val="20"/>
                <w:szCs w:val="20"/>
                <w:vertAlign w:val="superscript"/>
                <w:lang w:val="en-CA"/>
              </w:rPr>
              <w:t>st</w:t>
            </w:r>
            <w:r w:rsidRPr="0071085D">
              <w:rPr>
                <w:sz w:val="20"/>
                <w:szCs w:val="20"/>
                <w:lang w:val="en-CA"/>
              </w:rPr>
              <w:t xml:space="preserve"> intercourse - 15 </w:t>
            </w:r>
            <w:proofErr w:type="spellStart"/>
            <w:r w:rsidRPr="0071085D">
              <w:rPr>
                <w:sz w:val="20"/>
                <w:szCs w:val="20"/>
                <w:lang w:val="en-CA"/>
              </w:rPr>
              <w:t>y.o</w:t>
            </w:r>
            <w:proofErr w:type="spellEnd"/>
            <w:r w:rsidRPr="0071085D">
              <w:rPr>
                <w:sz w:val="20"/>
                <w:szCs w:val="20"/>
                <w:lang w:val="en-CA"/>
              </w:rPr>
              <w:t>.</w:t>
            </w:r>
          </w:p>
        </w:tc>
        <w:tc>
          <w:tcPr>
            <w:tcW w:w="1297" w:type="dxa"/>
            <w:gridSpan w:val="2"/>
            <w:tcBorders>
              <w:top w:val="nil"/>
              <w:left w:val="nil"/>
              <w:bottom w:val="nil"/>
              <w:right w:val="nil"/>
            </w:tcBorders>
          </w:tcPr>
          <w:p w14:paraId="0352C022" w14:textId="3CFA88F4" w:rsidR="000D6B8C" w:rsidRPr="0071085D" w:rsidRDefault="000D6B8C" w:rsidP="00601620">
            <w:pPr>
              <w:widowControl w:val="0"/>
              <w:spacing w:line="480" w:lineRule="auto"/>
              <w:rPr>
                <w:sz w:val="20"/>
                <w:szCs w:val="20"/>
                <w:lang w:val="en-CA"/>
              </w:rPr>
            </w:pPr>
            <w:r w:rsidRPr="0071085D">
              <w:rPr>
                <w:sz w:val="20"/>
                <w:szCs w:val="20"/>
                <w:lang w:val="en-CA"/>
              </w:rPr>
              <w:t>15.4</w:t>
            </w:r>
          </w:p>
        </w:tc>
        <w:tc>
          <w:tcPr>
            <w:tcW w:w="1167" w:type="dxa"/>
            <w:tcBorders>
              <w:top w:val="nil"/>
              <w:left w:val="nil"/>
              <w:bottom w:val="nil"/>
              <w:right w:val="nil"/>
            </w:tcBorders>
          </w:tcPr>
          <w:p w14:paraId="18A18649" w14:textId="7264C78A" w:rsidR="000D6B8C" w:rsidRPr="0071085D"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nil"/>
              <w:right w:val="nil"/>
            </w:tcBorders>
          </w:tcPr>
          <w:p w14:paraId="07A95F44" w14:textId="1F47DD3D" w:rsidR="000D6B8C" w:rsidRPr="0071085D" w:rsidRDefault="000D6B8C" w:rsidP="00601620">
            <w:pPr>
              <w:widowControl w:val="0"/>
              <w:spacing w:line="480" w:lineRule="auto"/>
              <w:rPr>
                <w:sz w:val="20"/>
                <w:szCs w:val="20"/>
                <w:lang w:val="en-CA"/>
              </w:rPr>
            </w:pPr>
            <w:r w:rsidRPr="0071085D">
              <w:rPr>
                <w:sz w:val="20"/>
                <w:szCs w:val="20"/>
                <w:lang w:val="en-CA"/>
              </w:rPr>
              <w:t>13.8</w:t>
            </w:r>
          </w:p>
        </w:tc>
        <w:tc>
          <w:tcPr>
            <w:tcW w:w="1297" w:type="dxa"/>
            <w:tcBorders>
              <w:top w:val="nil"/>
              <w:left w:val="nil"/>
              <w:bottom w:val="nil"/>
              <w:right w:val="nil"/>
            </w:tcBorders>
          </w:tcPr>
          <w:p w14:paraId="07B8556D" w14:textId="22FF3A6A" w:rsidR="000D6B8C" w:rsidRPr="0071085D" w:rsidRDefault="000D6B8C" w:rsidP="00601620">
            <w:pPr>
              <w:widowControl w:val="0"/>
              <w:spacing w:line="480" w:lineRule="auto"/>
              <w:rPr>
                <w:sz w:val="20"/>
                <w:szCs w:val="20"/>
                <w:lang w:val="en-CA"/>
              </w:rPr>
            </w:pPr>
            <w:r w:rsidRPr="0071085D">
              <w:rPr>
                <w:sz w:val="20"/>
                <w:szCs w:val="20"/>
                <w:lang w:val="en-CA"/>
              </w:rPr>
              <w:t>20.1</w:t>
            </w:r>
          </w:p>
        </w:tc>
        <w:tc>
          <w:tcPr>
            <w:tcW w:w="1212" w:type="dxa"/>
            <w:tcBorders>
              <w:top w:val="nil"/>
              <w:left w:val="nil"/>
              <w:bottom w:val="nil"/>
              <w:right w:val="nil"/>
            </w:tcBorders>
          </w:tcPr>
          <w:p w14:paraId="45B1E008" w14:textId="3470B266" w:rsidR="000D6B8C" w:rsidRPr="0071085D" w:rsidRDefault="000D6B8C" w:rsidP="00601620">
            <w:pPr>
              <w:widowControl w:val="0"/>
              <w:spacing w:line="480" w:lineRule="auto"/>
              <w:rPr>
                <w:sz w:val="20"/>
                <w:szCs w:val="20"/>
                <w:lang w:val="en-CA"/>
              </w:rPr>
            </w:pPr>
            <w:r w:rsidRPr="0071085D">
              <w:rPr>
                <w:sz w:val="20"/>
                <w:szCs w:val="20"/>
                <w:lang w:val="en-CA"/>
              </w:rPr>
              <w:t>22.3</w:t>
            </w:r>
          </w:p>
        </w:tc>
      </w:tr>
      <w:tr w:rsidR="000D6B8C" w:rsidRPr="0071085D" w14:paraId="56D88FA0" w14:textId="77777777" w:rsidTr="00BE7EF5">
        <w:trPr>
          <w:gridAfter w:val="1"/>
          <w:wAfter w:w="86" w:type="dxa"/>
          <w:trHeight w:val="458"/>
        </w:trPr>
        <w:tc>
          <w:tcPr>
            <w:tcW w:w="3500" w:type="dxa"/>
            <w:tcBorders>
              <w:top w:val="nil"/>
              <w:left w:val="nil"/>
              <w:bottom w:val="nil"/>
              <w:right w:val="nil"/>
            </w:tcBorders>
          </w:tcPr>
          <w:p w14:paraId="32189C67" w14:textId="5D4568B0" w:rsidR="000D6B8C" w:rsidRPr="0071085D" w:rsidRDefault="000D6B8C" w:rsidP="00601620">
            <w:pPr>
              <w:widowControl w:val="0"/>
              <w:spacing w:line="480" w:lineRule="auto"/>
              <w:ind w:left="175"/>
              <w:rPr>
                <w:sz w:val="20"/>
                <w:szCs w:val="20"/>
                <w:lang w:val="en-CA"/>
              </w:rPr>
            </w:pPr>
            <w:r w:rsidRPr="0071085D">
              <w:rPr>
                <w:sz w:val="20"/>
                <w:szCs w:val="20"/>
                <w:lang w:val="en-CA"/>
              </w:rPr>
              <w:t>1</w:t>
            </w:r>
            <w:r w:rsidRPr="0071085D">
              <w:rPr>
                <w:sz w:val="20"/>
                <w:szCs w:val="20"/>
                <w:vertAlign w:val="superscript"/>
                <w:lang w:val="en-CA"/>
              </w:rPr>
              <w:t>st</w:t>
            </w:r>
            <w:r w:rsidRPr="0071085D">
              <w:rPr>
                <w:sz w:val="20"/>
                <w:szCs w:val="20"/>
                <w:lang w:val="en-CA"/>
              </w:rPr>
              <w:t xml:space="preserve"> intercourse - 14 </w:t>
            </w:r>
            <w:proofErr w:type="spellStart"/>
            <w:r w:rsidRPr="0071085D">
              <w:rPr>
                <w:sz w:val="20"/>
                <w:szCs w:val="20"/>
                <w:lang w:val="en-CA"/>
              </w:rPr>
              <w:t>y.o</w:t>
            </w:r>
            <w:proofErr w:type="spellEnd"/>
            <w:r w:rsidRPr="0071085D">
              <w:rPr>
                <w:sz w:val="20"/>
                <w:szCs w:val="20"/>
                <w:lang w:val="en-CA"/>
              </w:rPr>
              <w:t>.</w:t>
            </w:r>
          </w:p>
        </w:tc>
        <w:tc>
          <w:tcPr>
            <w:tcW w:w="1297" w:type="dxa"/>
            <w:gridSpan w:val="2"/>
            <w:tcBorders>
              <w:top w:val="nil"/>
              <w:left w:val="nil"/>
              <w:bottom w:val="nil"/>
              <w:right w:val="nil"/>
            </w:tcBorders>
          </w:tcPr>
          <w:p w14:paraId="7534E1C6" w14:textId="4D86C636" w:rsidR="000D6B8C" w:rsidRPr="0071085D" w:rsidDel="007711A1" w:rsidRDefault="000D6B8C" w:rsidP="00601620">
            <w:pPr>
              <w:widowControl w:val="0"/>
              <w:spacing w:line="480" w:lineRule="auto"/>
              <w:rPr>
                <w:sz w:val="20"/>
                <w:szCs w:val="20"/>
                <w:lang w:val="en-CA"/>
              </w:rPr>
            </w:pPr>
            <w:r w:rsidRPr="0071085D">
              <w:rPr>
                <w:sz w:val="20"/>
                <w:szCs w:val="20"/>
                <w:lang w:val="en-CA"/>
              </w:rPr>
              <w:t>9.5</w:t>
            </w:r>
          </w:p>
        </w:tc>
        <w:tc>
          <w:tcPr>
            <w:tcW w:w="1167" w:type="dxa"/>
            <w:tcBorders>
              <w:top w:val="nil"/>
              <w:left w:val="nil"/>
              <w:bottom w:val="nil"/>
              <w:right w:val="nil"/>
            </w:tcBorders>
          </w:tcPr>
          <w:p w14:paraId="08C65847" w14:textId="692B3138"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nil"/>
              <w:right w:val="nil"/>
            </w:tcBorders>
          </w:tcPr>
          <w:p w14:paraId="3C354C46" w14:textId="6077DCF4" w:rsidR="000D6B8C" w:rsidRPr="0071085D" w:rsidDel="007711A1" w:rsidRDefault="000D6B8C" w:rsidP="00601620">
            <w:pPr>
              <w:widowControl w:val="0"/>
              <w:spacing w:line="480" w:lineRule="auto"/>
              <w:rPr>
                <w:sz w:val="20"/>
                <w:szCs w:val="20"/>
                <w:lang w:val="en-CA"/>
              </w:rPr>
            </w:pPr>
            <w:r w:rsidRPr="0071085D">
              <w:rPr>
                <w:sz w:val="20"/>
                <w:szCs w:val="20"/>
                <w:lang w:val="en-CA"/>
              </w:rPr>
              <w:t>7.6</w:t>
            </w:r>
          </w:p>
        </w:tc>
        <w:tc>
          <w:tcPr>
            <w:tcW w:w="1297" w:type="dxa"/>
            <w:tcBorders>
              <w:top w:val="nil"/>
              <w:left w:val="nil"/>
              <w:bottom w:val="nil"/>
              <w:right w:val="nil"/>
            </w:tcBorders>
          </w:tcPr>
          <w:p w14:paraId="63BBE0E9" w14:textId="689FF8DC" w:rsidR="000D6B8C" w:rsidRPr="0071085D" w:rsidDel="007711A1" w:rsidRDefault="000D6B8C" w:rsidP="00601620">
            <w:pPr>
              <w:widowControl w:val="0"/>
              <w:spacing w:line="480" w:lineRule="auto"/>
              <w:rPr>
                <w:sz w:val="20"/>
                <w:szCs w:val="20"/>
                <w:lang w:val="en-CA"/>
              </w:rPr>
            </w:pPr>
            <w:r w:rsidRPr="0071085D">
              <w:rPr>
                <w:sz w:val="20"/>
                <w:szCs w:val="20"/>
                <w:lang w:val="en-CA"/>
              </w:rPr>
              <w:t>11.3</w:t>
            </w:r>
          </w:p>
        </w:tc>
        <w:tc>
          <w:tcPr>
            <w:tcW w:w="1212" w:type="dxa"/>
            <w:tcBorders>
              <w:top w:val="nil"/>
              <w:left w:val="nil"/>
              <w:bottom w:val="nil"/>
              <w:right w:val="nil"/>
            </w:tcBorders>
          </w:tcPr>
          <w:p w14:paraId="39B02F6C" w14:textId="5670F28A" w:rsidR="000D6B8C" w:rsidRPr="0071085D" w:rsidDel="007711A1" w:rsidRDefault="000D6B8C" w:rsidP="00601620">
            <w:pPr>
              <w:widowControl w:val="0"/>
              <w:spacing w:line="480" w:lineRule="auto"/>
              <w:rPr>
                <w:sz w:val="20"/>
                <w:szCs w:val="20"/>
                <w:lang w:val="en-CA"/>
              </w:rPr>
            </w:pPr>
            <w:r w:rsidRPr="0071085D">
              <w:rPr>
                <w:sz w:val="20"/>
                <w:szCs w:val="20"/>
                <w:lang w:val="en-CA"/>
              </w:rPr>
              <w:t>21.2</w:t>
            </w:r>
          </w:p>
        </w:tc>
      </w:tr>
      <w:tr w:rsidR="000D6B8C" w:rsidRPr="0071085D" w14:paraId="19BBFEAE" w14:textId="77777777" w:rsidTr="00BE7EF5">
        <w:trPr>
          <w:gridAfter w:val="1"/>
          <w:wAfter w:w="86" w:type="dxa"/>
          <w:trHeight w:val="438"/>
        </w:trPr>
        <w:tc>
          <w:tcPr>
            <w:tcW w:w="3500" w:type="dxa"/>
            <w:tcBorders>
              <w:top w:val="nil"/>
              <w:left w:val="nil"/>
              <w:bottom w:val="single" w:sz="4" w:space="0" w:color="auto"/>
              <w:right w:val="nil"/>
            </w:tcBorders>
          </w:tcPr>
          <w:p w14:paraId="1375E0C3" w14:textId="39A86658" w:rsidR="000D6B8C" w:rsidRPr="0071085D" w:rsidRDefault="000D6B8C" w:rsidP="00601620">
            <w:pPr>
              <w:widowControl w:val="0"/>
              <w:spacing w:line="480" w:lineRule="auto"/>
              <w:ind w:left="175"/>
              <w:rPr>
                <w:sz w:val="20"/>
                <w:szCs w:val="20"/>
                <w:lang w:val="en-CA"/>
              </w:rPr>
            </w:pPr>
            <w:r w:rsidRPr="0071085D">
              <w:rPr>
                <w:sz w:val="20"/>
                <w:szCs w:val="20"/>
                <w:lang w:val="en-CA"/>
              </w:rPr>
              <w:t>1</w:t>
            </w:r>
            <w:r w:rsidRPr="0071085D">
              <w:rPr>
                <w:sz w:val="20"/>
                <w:szCs w:val="20"/>
                <w:vertAlign w:val="superscript"/>
                <w:lang w:val="en-CA"/>
              </w:rPr>
              <w:t>st</w:t>
            </w:r>
            <w:r w:rsidRPr="0071085D">
              <w:rPr>
                <w:sz w:val="20"/>
                <w:szCs w:val="20"/>
                <w:lang w:val="en-CA"/>
              </w:rPr>
              <w:t xml:space="preserve"> intercourse - 13 </w:t>
            </w:r>
            <w:proofErr w:type="spellStart"/>
            <w:r w:rsidRPr="0071085D">
              <w:rPr>
                <w:sz w:val="20"/>
                <w:szCs w:val="20"/>
                <w:lang w:val="en-CA"/>
              </w:rPr>
              <w:t>y.o</w:t>
            </w:r>
            <w:proofErr w:type="spellEnd"/>
            <w:r w:rsidRPr="0071085D">
              <w:rPr>
                <w:sz w:val="20"/>
                <w:szCs w:val="20"/>
                <w:lang w:val="en-CA"/>
              </w:rPr>
              <w:t xml:space="preserve">. or </w:t>
            </w:r>
            <w:r w:rsidR="00773FAE" w:rsidRPr="0071085D">
              <w:rPr>
                <w:sz w:val="20"/>
                <w:szCs w:val="20"/>
                <w:lang w:val="en-CA"/>
              </w:rPr>
              <w:t>earlier</w:t>
            </w:r>
          </w:p>
        </w:tc>
        <w:tc>
          <w:tcPr>
            <w:tcW w:w="1297" w:type="dxa"/>
            <w:gridSpan w:val="2"/>
            <w:tcBorders>
              <w:top w:val="nil"/>
              <w:left w:val="nil"/>
              <w:bottom w:val="single" w:sz="4" w:space="0" w:color="auto"/>
              <w:right w:val="nil"/>
            </w:tcBorders>
          </w:tcPr>
          <w:p w14:paraId="2C3C66FE" w14:textId="457B20B7" w:rsidR="000D6B8C" w:rsidRPr="0071085D" w:rsidDel="007711A1" w:rsidRDefault="000D6B8C" w:rsidP="00601620">
            <w:pPr>
              <w:widowControl w:val="0"/>
              <w:spacing w:line="480" w:lineRule="auto"/>
              <w:rPr>
                <w:sz w:val="20"/>
                <w:szCs w:val="20"/>
                <w:lang w:val="en-CA"/>
              </w:rPr>
            </w:pPr>
            <w:r w:rsidRPr="0071085D">
              <w:rPr>
                <w:sz w:val="20"/>
                <w:szCs w:val="20"/>
                <w:lang w:val="en-CA"/>
              </w:rPr>
              <w:t>5,1</w:t>
            </w:r>
          </w:p>
        </w:tc>
        <w:tc>
          <w:tcPr>
            <w:tcW w:w="1167" w:type="dxa"/>
            <w:tcBorders>
              <w:top w:val="nil"/>
              <w:left w:val="nil"/>
              <w:bottom w:val="single" w:sz="4" w:space="0" w:color="auto"/>
              <w:right w:val="nil"/>
            </w:tcBorders>
          </w:tcPr>
          <w:p w14:paraId="2447E30F" w14:textId="390C27A8"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single" w:sz="4" w:space="0" w:color="auto"/>
              <w:right w:val="nil"/>
            </w:tcBorders>
          </w:tcPr>
          <w:p w14:paraId="74DE868B" w14:textId="716460F8" w:rsidR="000D6B8C" w:rsidRPr="0071085D" w:rsidDel="007711A1" w:rsidRDefault="000D6B8C" w:rsidP="00601620">
            <w:pPr>
              <w:widowControl w:val="0"/>
              <w:spacing w:line="480" w:lineRule="auto"/>
              <w:rPr>
                <w:sz w:val="20"/>
                <w:szCs w:val="20"/>
                <w:lang w:val="en-CA"/>
              </w:rPr>
            </w:pPr>
            <w:r w:rsidRPr="0071085D">
              <w:rPr>
                <w:sz w:val="20"/>
                <w:szCs w:val="20"/>
                <w:lang w:val="en-CA"/>
              </w:rPr>
              <w:t>2.6</w:t>
            </w:r>
          </w:p>
        </w:tc>
        <w:tc>
          <w:tcPr>
            <w:tcW w:w="1297" w:type="dxa"/>
            <w:tcBorders>
              <w:top w:val="nil"/>
              <w:left w:val="nil"/>
              <w:bottom w:val="single" w:sz="4" w:space="0" w:color="auto"/>
              <w:right w:val="nil"/>
            </w:tcBorders>
          </w:tcPr>
          <w:p w14:paraId="17DC895F" w14:textId="5C1B1093" w:rsidR="000D6B8C" w:rsidRPr="0071085D" w:rsidDel="007711A1" w:rsidRDefault="000D6B8C" w:rsidP="00601620">
            <w:pPr>
              <w:widowControl w:val="0"/>
              <w:spacing w:line="480" w:lineRule="auto"/>
              <w:rPr>
                <w:sz w:val="20"/>
                <w:szCs w:val="20"/>
                <w:lang w:val="en-CA"/>
              </w:rPr>
            </w:pPr>
            <w:r w:rsidRPr="0071085D">
              <w:rPr>
                <w:sz w:val="20"/>
                <w:szCs w:val="20"/>
                <w:lang w:val="en-CA"/>
              </w:rPr>
              <w:t>6.4</w:t>
            </w:r>
          </w:p>
        </w:tc>
        <w:tc>
          <w:tcPr>
            <w:tcW w:w="1212" w:type="dxa"/>
            <w:tcBorders>
              <w:top w:val="nil"/>
              <w:left w:val="nil"/>
              <w:bottom w:val="single" w:sz="4" w:space="0" w:color="auto"/>
              <w:right w:val="nil"/>
            </w:tcBorders>
          </w:tcPr>
          <w:p w14:paraId="028EB331" w14:textId="241106A0" w:rsidR="000D6B8C" w:rsidRPr="0071085D" w:rsidDel="007711A1" w:rsidRDefault="003B7620" w:rsidP="00601620">
            <w:pPr>
              <w:widowControl w:val="0"/>
              <w:spacing w:line="480" w:lineRule="auto"/>
              <w:rPr>
                <w:sz w:val="20"/>
                <w:szCs w:val="20"/>
                <w:lang w:val="en-CA"/>
              </w:rPr>
            </w:pPr>
            <w:r w:rsidRPr="0071085D">
              <w:rPr>
                <w:sz w:val="20"/>
                <w:szCs w:val="20"/>
                <w:lang w:val="en-CA"/>
              </w:rPr>
              <w:t>29.9</w:t>
            </w:r>
          </w:p>
        </w:tc>
      </w:tr>
      <w:tr w:rsidR="000D6B8C" w:rsidRPr="0071085D" w14:paraId="07B039C4" w14:textId="77777777" w:rsidTr="00BE7EF5">
        <w:trPr>
          <w:gridAfter w:val="1"/>
          <w:wAfter w:w="86" w:type="dxa"/>
          <w:trHeight w:val="458"/>
        </w:trPr>
        <w:tc>
          <w:tcPr>
            <w:tcW w:w="3500" w:type="dxa"/>
            <w:tcBorders>
              <w:top w:val="single" w:sz="4" w:space="0" w:color="auto"/>
              <w:left w:val="nil"/>
              <w:bottom w:val="single" w:sz="4" w:space="0" w:color="auto"/>
              <w:right w:val="nil"/>
            </w:tcBorders>
          </w:tcPr>
          <w:p w14:paraId="0C161F81" w14:textId="77777777" w:rsidR="00F22341" w:rsidRPr="0071085D" w:rsidRDefault="000D6B8C" w:rsidP="00601620">
            <w:pPr>
              <w:widowControl w:val="0"/>
              <w:spacing w:line="480" w:lineRule="auto"/>
              <w:ind w:left="33"/>
              <w:rPr>
                <w:sz w:val="20"/>
                <w:szCs w:val="20"/>
                <w:lang w:val="en-CA"/>
              </w:rPr>
            </w:pPr>
            <w:r w:rsidRPr="0071085D">
              <w:rPr>
                <w:sz w:val="20"/>
                <w:szCs w:val="20"/>
                <w:lang w:val="en-CA"/>
              </w:rPr>
              <w:t xml:space="preserve">(2) Mean number of sexual partners </w:t>
            </w:r>
          </w:p>
          <w:p w14:paraId="636B1D73" w14:textId="2F4BDAD0" w:rsidR="000D6B8C" w:rsidRPr="0071085D" w:rsidRDefault="000D6B8C" w:rsidP="00601620">
            <w:pPr>
              <w:widowControl w:val="0"/>
              <w:spacing w:line="480" w:lineRule="auto"/>
              <w:ind w:left="33"/>
              <w:rPr>
                <w:sz w:val="20"/>
                <w:szCs w:val="20"/>
                <w:lang w:val="en-CA"/>
              </w:rPr>
            </w:pPr>
            <w:r w:rsidRPr="0071085D">
              <w:rPr>
                <w:sz w:val="20"/>
                <w:szCs w:val="20"/>
                <w:lang w:val="en-CA"/>
              </w:rPr>
              <w:t xml:space="preserve">(S. </w:t>
            </w:r>
            <w:proofErr w:type="gramStart"/>
            <w:r w:rsidRPr="0071085D">
              <w:rPr>
                <w:sz w:val="20"/>
                <w:szCs w:val="20"/>
                <w:lang w:val="en-CA"/>
              </w:rPr>
              <w:t>D.)</w:t>
            </w:r>
            <w:r w:rsidRPr="0071085D">
              <w:rPr>
                <w:sz w:val="20"/>
                <w:szCs w:val="20"/>
                <w:vertAlign w:val="superscript"/>
                <w:lang w:val="en-CA"/>
              </w:rPr>
              <w:t>a</w:t>
            </w:r>
            <w:proofErr w:type="gramEnd"/>
          </w:p>
        </w:tc>
        <w:tc>
          <w:tcPr>
            <w:tcW w:w="1297" w:type="dxa"/>
            <w:gridSpan w:val="2"/>
            <w:tcBorders>
              <w:top w:val="single" w:sz="4" w:space="0" w:color="auto"/>
              <w:left w:val="nil"/>
              <w:bottom w:val="single" w:sz="4" w:space="0" w:color="auto"/>
              <w:right w:val="nil"/>
            </w:tcBorders>
          </w:tcPr>
          <w:p w14:paraId="1F55BA7E" w14:textId="0C34D856" w:rsidR="000D6B8C" w:rsidRPr="0071085D" w:rsidDel="007711A1" w:rsidRDefault="000D6B8C" w:rsidP="00601620">
            <w:pPr>
              <w:widowControl w:val="0"/>
              <w:spacing w:line="480" w:lineRule="auto"/>
              <w:rPr>
                <w:sz w:val="20"/>
                <w:szCs w:val="20"/>
                <w:lang w:val="en-CA"/>
              </w:rPr>
            </w:pPr>
            <w:r w:rsidRPr="0071085D">
              <w:rPr>
                <w:sz w:val="20"/>
                <w:szCs w:val="20"/>
                <w:lang w:val="en-CA"/>
              </w:rPr>
              <w:t>9.46 (17.64)</w:t>
            </w:r>
          </w:p>
        </w:tc>
        <w:tc>
          <w:tcPr>
            <w:tcW w:w="1167" w:type="dxa"/>
            <w:tcBorders>
              <w:top w:val="single" w:sz="4" w:space="0" w:color="auto"/>
              <w:left w:val="nil"/>
              <w:bottom w:val="single" w:sz="4" w:space="0" w:color="auto"/>
              <w:right w:val="nil"/>
            </w:tcBorders>
          </w:tcPr>
          <w:p w14:paraId="36E034F6" w14:textId="4136545D" w:rsidR="000D6B8C" w:rsidRPr="0071085D" w:rsidDel="007711A1" w:rsidRDefault="000D6B8C" w:rsidP="00601620">
            <w:pPr>
              <w:widowControl w:val="0"/>
              <w:spacing w:line="480" w:lineRule="auto"/>
              <w:rPr>
                <w:sz w:val="20"/>
                <w:szCs w:val="20"/>
                <w:lang w:val="en-CA"/>
              </w:rPr>
            </w:pPr>
            <w:r w:rsidRPr="0071085D">
              <w:rPr>
                <w:sz w:val="20"/>
                <w:szCs w:val="20"/>
                <w:lang w:val="en-CA"/>
              </w:rPr>
              <w:t>.19 (.48)</w:t>
            </w:r>
          </w:p>
        </w:tc>
        <w:tc>
          <w:tcPr>
            <w:tcW w:w="1166" w:type="dxa"/>
            <w:gridSpan w:val="2"/>
            <w:tcBorders>
              <w:top w:val="single" w:sz="4" w:space="0" w:color="auto"/>
              <w:left w:val="nil"/>
              <w:bottom w:val="single" w:sz="4" w:space="0" w:color="auto"/>
              <w:right w:val="nil"/>
            </w:tcBorders>
          </w:tcPr>
          <w:p w14:paraId="525C9C41" w14:textId="4FD227E2" w:rsidR="000D6B8C" w:rsidRPr="0071085D" w:rsidDel="007711A1" w:rsidRDefault="000D6B8C" w:rsidP="00601620">
            <w:pPr>
              <w:widowControl w:val="0"/>
              <w:spacing w:line="480" w:lineRule="auto"/>
              <w:rPr>
                <w:sz w:val="20"/>
                <w:szCs w:val="20"/>
                <w:lang w:val="en-CA"/>
              </w:rPr>
            </w:pPr>
            <w:r w:rsidRPr="0071085D">
              <w:rPr>
                <w:sz w:val="20"/>
                <w:szCs w:val="20"/>
                <w:lang w:val="en-CA"/>
              </w:rPr>
              <w:t>2.60 (1.50)</w:t>
            </w:r>
          </w:p>
        </w:tc>
        <w:tc>
          <w:tcPr>
            <w:tcW w:w="1297" w:type="dxa"/>
            <w:tcBorders>
              <w:top w:val="single" w:sz="4" w:space="0" w:color="auto"/>
              <w:left w:val="nil"/>
              <w:bottom w:val="single" w:sz="4" w:space="0" w:color="auto"/>
              <w:right w:val="nil"/>
            </w:tcBorders>
          </w:tcPr>
          <w:p w14:paraId="45E3501D" w14:textId="1557AC86" w:rsidR="000D6B8C" w:rsidRPr="0071085D" w:rsidDel="007711A1" w:rsidRDefault="000D6B8C" w:rsidP="00601620">
            <w:pPr>
              <w:widowControl w:val="0"/>
              <w:spacing w:line="480" w:lineRule="auto"/>
              <w:rPr>
                <w:sz w:val="20"/>
                <w:szCs w:val="20"/>
                <w:lang w:val="en-CA"/>
              </w:rPr>
            </w:pPr>
            <w:r w:rsidRPr="0071085D">
              <w:rPr>
                <w:sz w:val="20"/>
                <w:szCs w:val="20"/>
                <w:lang w:val="en-CA"/>
              </w:rPr>
              <w:t>10.06 (5.41)</w:t>
            </w:r>
          </w:p>
        </w:tc>
        <w:tc>
          <w:tcPr>
            <w:tcW w:w="1212" w:type="dxa"/>
            <w:tcBorders>
              <w:top w:val="single" w:sz="4" w:space="0" w:color="auto"/>
              <w:left w:val="nil"/>
              <w:bottom w:val="single" w:sz="4" w:space="0" w:color="auto"/>
              <w:right w:val="nil"/>
            </w:tcBorders>
          </w:tcPr>
          <w:p w14:paraId="3C8554F5" w14:textId="43C5201D" w:rsidR="000D6B8C" w:rsidRPr="0071085D" w:rsidDel="007711A1" w:rsidRDefault="000D6B8C" w:rsidP="00601620">
            <w:pPr>
              <w:widowControl w:val="0"/>
              <w:spacing w:line="480" w:lineRule="auto"/>
              <w:rPr>
                <w:sz w:val="20"/>
                <w:szCs w:val="20"/>
                <w:lang w:val="en-CA"/>
              </w:rPr>
            </w:pPr>
            <w:r w:rsidRPr="0071085D">
              <w:rPr>
                <w:sz w:val="20"/>
                <w:szCs w:val="20"/>
                <w:lang w:val="en-CA"/>
              </w:rPr>
              <w:t>43.27 (42.09)</w:t>
            </w:r>
          </w:p>
        </w:tc>
      </w:tr>
      <w:tr w:rsidR="000D6B8C" w:rsidRPr="0071085D" w14:paraId="24B6B64B" w14:textId="77777777" w:rsidTr="00BE7EF5">
        <w:trPr>
          <w:gridAfter w:val="1"/>
          <w:wAfter w:w="86" w:type="dxa"/>
          <w:trHeight w:val="458"/>
        </w:trPr>
        <w:tc>
          <w:tcPr>
            <w:tcW w:w="9639" w:type="dxa"/>
            <w:gridSpan w:val="8"/>
            <w:tcBorders>
              <w:top w:val="single" w:sz="4" w:space="0" w:color="auto"/>
              <w:left w:val="nil"/>
              <w:bottom w:val="single" w:sz="4" w:space="0" w:color="auto"/>
              <w:right w:val="nil"/>
            </w:tcBorders>
          </w:tcPr>
          <w:p w14:paraId="3B430618" w14:textId="77777777" w:rsidR="000D6B8C" w:rsidRPr="0071085D" w:rsidDel="007711A1" w:rsidRDefault="000D6B8C" w:rsidP="00601620">
            <w:pPr>
              <w:widowControl w:val="0"/>
              <w:spacing w:line="480" w:lineRule="auto"/>
              <w:rPr>
                <w:sz w:val="20"/>
                <w:szCs w:val="20"/>
                <w:lang w:val="en-CA"/>
              </w:rPr>
            </w:pPr>
            <w:r w:rsidRPr="0071085D">
              <w:rPr>
                <w:sz w:val="20"/>
                <w:szCs w:val="20"/>
                <w:lang w:val="en-CA"/>
              </w:rPr>
              <w:t>(3) Inconsistent condom use (%)</w:t>
            </w:r>
          </w:p>
        </w:tc>
      </w:tr>
      <w:tr w:rsidR="000D6B8C" w:rsidRPr="0071085D" w14:paraId="0D41A127" w14:textId="77777777" w:rsidTr="00BE7EF5">
        <w:trPr>
          <w:gridAfter w:val="1"/>
          <w:wAfter w:w="86" w:type="dxa"/>
          <w:trHeight w:val="458"/>
        </w:trPr>
        <w:tc>
          <w:tcPr>
            <w:tcW w:w="3500" w:type="dxa"/>
            <w:tcBorders>
              <w:top w:val="single" w:sz="4" w:space="0" w:color="auto"/>
              <w:left w:val="nil"/>
              <w:bottom w:val="nil"/>
              <w:right w:val="nil"/>
            </w:tcBorders>
          </w:tcPr>
          <w:p w14:paraId="79FF53CE" w14:textId="74FFB44E" w:rsidR="000D6B8C" w:rsidRPr="0071085D" w:rsidRDefault="000D6B8C" w:rsidP="00601620">
            <w:pPr>
              <w:widowControl w:val="0"/>
              <w:spacing w:line="480" w:lineRule="auto"/>
              <w:ind w:left="175"/>
              <w:rPr>
                <w:sz w:val="20"/>
                <w:szCs w:val="20"/>
                <w:lang w:val="en-CA"/>
              </w:rPr>
            </w:pPr>
            <w:r w:rsidRPr="0071085D">
              <w:rPr>
                <w:sz w:val="20"/>
                <w:szCs w:val="20"/>
                <w:lang w:val="en-CA"/>
              </w:rPr>
              <w:t>No penetrative sex, last year</w:t>
            </w:r>
          </w:p>
        </w:tc>
        <w:tc>
          <w:tcPr>
            <w:tcW w:w="1297" w:type="dxa"/>
            <w:gridSpan w:val="2"/>
            <w:tcBorders>
              <w:top w:val="single" w:sz="4" w:space="0" w:color="auto"/>
              <w:left w:val="nil"/>
              <w:bottom w:val="nil"/>
              <w:right w:val="nil"/>
            </w:tcBorders>
          </w:tcPr>
          <w:p w14:paraId="533F0164" w14:textId="687DA9BD" w:rsidR="000D6B8C" w:rsidRPr="0071085D" w:rsidDel="007711A1" w:rsidRDefault="000D6B8C" w:rsidP="00601620">
            <w:pPr>
              <w:widowControl w:val="0"/>
              <w:spacing w:line="480" w:lineRule="auto"/>
              <w:rPr>
                <w:sz w:val="20"/>
                <w:szCs w:val="20"/>
                <w:lang w:val="en-CA"/>
              </w:rPr>
            </w:pPr>
            <w:r w:rsidRPr="0071085D">
              <w:rPr>
                <w:sz w:val="20"/>
                <w:szCs w:val="20"/>
                <w:lang w:val="en-CA"/>
              </w:rPr>
              <w:t>16.4</w:t>
            </w:r>
          </w:p>
        </w:tc>
        <w:tc>
          <w:tcPr>
            <w:tcW w:w="1167" w:type="dxa"/>
            <w:tcBorders>
              <w:top w:val="single" w:sz="4" w:space="0" w:color="auto"/>
              <w:left w:val="nil"/>
              <w:bottom w:val="nil"/>
              <w:right w:val="nil"/>
            </w:tcBorders>
          </w:tcPr>
          <w:p w14:paraId="33254766" w14:textId="63D1B1F6" w:rsidR="000D6B8C" w:rsidRPr="0071085D" w:rsidDel="007711A1" w:rsidRDefault="000D6B8C" w:rsidP="00601620">
            <w:pPr>
              <w:widowControl w:val="0"/>
              <w:spacing w:line="480" w:lineRule="auto"/>
              <w:rPr>
                <w:sz w:val="20"/>
                <w:szCs w:val="20"/>
                <w:lang w:val="en-CA"/>
              </w:rPr>
            </w:pPr>
            <w:r w:rsidRPr="0071085D">
              <w:rPr>
                <w:sz w:val="20"/>
                <w:szCs w:val="20"/>
                <w:lang w:val="en-CA"/>
              </w:rPr>
              <w:t>100.0</w:t>
            </w:r>
          </w:p>
        </w:tc>
        <w:tc>
          <w:tcPr>
            <w:tcW w:w="1166" w:type="dxa"/>
            <w:gridSpan w:val="2"/>
            <w:tcBorders>
              <w:top w:val="single" w:sz="4" w:space="0" w:color="auto"/>
              <w:left w:val="nil"/>
              <w:bottom w:val="nil"/>
              <w:right w:val="nil"/>
            </w:tcBorders>
          </w:tcPr>
          <w:p w14:paraId="3830E760" w14:textId="2CD6A618" w:rsidR="000D6B8C" w:rsidRPr="0071085D" w:rsidDel="007711A1" w:rsidRDefault="000D6B8C" w:rsidP="00601620">
            <w:pPr>
              <w:widowControl w:val="0"/>
              <w:spacing w:line="480" w:lineRule="auto"/>
              <w:rPr>
                <w:sz w:val="20"/>
                <w:szCs w:val="20"/>
                <w:lang w:val="en-CA"/>
              </w:rPr>
            </w:pPr>
            <w:r w:rsidRPr="0071085D">
              <w:rPr>
                <w:sz w:val="20"/>
                <w:szCs w:val="20"/>
                <w:lang w:val="en-CA"/>
              </w:rPr>
              <w:t>8.1</w:t>
            </w:r>
          </w:p>
        </w:tc>
        <w:tc>
          <w:tcPr>
            <w:tcW w:w="1297" w:type="dxa"/>
            <w:tcBorders>
              <w:top w:val="single" w:sz="4" w:space="0" w:color="auto"/>
              <w:left w:val="nil"/>
              <w:bottom w:val="nil"/>
              <w:right w:val="nil"/>
            </w:tcBorders>
          </w:tcPr>
          <w:p w14:paraId="4729271D" w14:textId="54484900"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212" w:type="dxa"/>
            <w:tcBorders>
              <w:top w:val="single" w:sz="4" w:space="0" w:color="auto"/>
              <w:left w:val="nil"/>
              <w:bottom w:val="nil"/>
              <w:right w:val="nil"/>
            </w:tcBorders>
          </w:tcPr>
          <w:p w14:paraId="10CE6A31" w14:textId="0F001F39" w:rsidR="000D6B8C" w:rsidRPr="0071085D" w:rsidDel="007711A1" w:rsidRDefault="000D6B8C" w:rsidP="00601620">
            <w:pPr>
              <w:widowControl w:val="0"/>
              <w:spacing w:line="480" w:lineRule="auto"/>
              <w:rPr>
                <w:sz w:val="20"/>
                <w:szCs w:val="20"/>
                <w:lang w:val="en-CA"/>
              </w:rPr>
            </w:pPr>
            <w:r w:rsidRPr="0071085D">
              <w:rPr>
                <w:sz w:val="20"/>
                <w:szCs w:val="20"/>
                <w:lang w:val="en-CA"/>
              </w:rPr>
              <w:t>1.7</w:t>
            </w:r>
          </w:p>
        </w:tc>
      </w:tr>
      <w:tr w:rsidR="000D6B8C" w:rsidRPr="0071085D" w14:paraId="738DA5DD" w14:textId="77777777" w:rsidTr="00BE7EF5">
        <w:trPr>
          <w:gridAfter w:val="1"/>
          <w:wAfter w:w="86" w:type="dxa"/>
          <w:trHeight w:val="438"/>
        </w:trPr>
        <w:tc>
          <w:tcPr>
            <w:tcW w:w="3500" w:type="dxa"/>
            <w:tcBorders>
              <w:top w:val="nil"/>
              <w:left w:val="nil"/>
              <w:bottom w:val="nil"/>
              <w:right w:val="nil"/>
            </w:tcBorders>
          </w:tcPr>
          <w:p w14:paraId="53FC7AE8" w14:textId="6635A900" w:rsidR="000D6B8C" w:rsidRPr="0071085D" w:rsidRDefault="000D6B8C" w:rsidP="00601620">
            <w:pPr>
              <w:widowControl w:val="0"/>
              <w:spacing w:line="480" w:lineRule="auto"/>
              <w:ind w:left="175"/>
              <w:rPr>
                <w:sz w:val="20"/>
                <w:szCs w:val="20"/>
                <w:lang w:val="en-CA"/>
              </w:rPr>
            </w:pPr>
            <w:r w:rsidRPr="0071085D">
              <w:rPr>
                <w:sz w:val="20"/>
                <w:szCs w:val="20"/>
                <w:lang w:val="en-CA"/>
              </w:rPr>
              <w:t>Consistent use</w:t>
            </w:r>
          </w:p>
        </w:tc>
        <w:tc>
          <w:tcPr>
            <w:tcW w:w="1297" w:type="dxa"/>
            <w:gridSpan w:val="2"/>
            <w:tcBorders>
              <w:top w:val="nil"/>
              <w:left w:val="nil"/>
              <w:bottom w:val="nil"/>
              <w:right w:val="nil"/>
            </w:tcBorders>
          </w:tcPr>
          <w:p w14:paraId="180409E6" w14:textId="2292C95E" w:rsidR="000D6B8C" w:rsidRPr="0071085D" w:rsidDel="007711A1" w:rsidRDefault="000D6B8C" w:rsidP="00601620">
            <w:pPr>
              <w:widowControl w:val="0"/>
              <w:spacing w:line="480" w:lineRule="auto"/>
              <w:rPr>
                <w:sz w:val="20"/>
                <w:szCs w:val="20"/>
                <w:lang w:val="en-CA"/>
              </w:rPr>
            </w:pPr>
            <w:r w:rsidRPr="0071085D">
              <w:rPr>
                <w:sz w:val="20"/>
                <w:szCs w:val="20"/>
                <w:lang w:val="en-CA"/>
              </w:rPr>
              <w:t>15.3</w:t>
            </w:r>
          </w:p>
        </w:tc>
        <w:tc>
          <w:tcPr>
            <w:tcW w:w="1167" w:type="dxa"/>
            <w:tcBorders>
              <w:top w:val="nil"/>
              <w:left w:val="nil"/>
              <w:bottom w:val="nil"/>
              <w:right w:val="nil"/>
            </w:tcBorders>
          </w:tcPr>
          <w:p w14:paraId="6DFC7A71" w14:textId="7EA511B1"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nil"/>
              <w:right w:val="nil"/>
            </w:tcBorders>
          </w:tcPr>
          <w:p w14:paraId="09F2429B" w14:textId="41AEC1E8" w:rsidR="000D6B8C" w:rsidRPr="0071085D" w:rsidDel="007711A1" w:rsidRDefault="000D6B8C" w:rsidP="00601620">
            <w:pPr>
              <w:widowControl w:val="0"/>
              <w:spacing w:line="480" w:lineRule="auto"/>
              <w:rPr>
                <w:sz w:val="20"/>
                <w:szCs w:val="20"/>
                <w:lang w:val="en-CA"/>
              </w:rPr>
            </w:pPr>
            <w:r w:rsidRPr="0071085D">
              <w:rPr>
                <w:sz w:val="20"/>
                <w:szCs w:val="20"/>
                <w:lang w:val="en-CA"/>
              </w:rPr>
              <w:t>25.5</w:t>
            </w:r>
          </w:p>
        </w:tc>
        <w:tc>
          <w:tcPr>
            <w:tcW w:w="1297" w:type="dxa"/>
            <w:tcBorders>
              <w:top w:val="nil"/>
              <w:left w:val="nil"/>
              <w:bottom w:val="nil"/>
              <w:right w:val="nil"/>
            </w:tcBorders>
          </w:tcPr>
          <w:p w14:paraId="2DF1EA09" w14:textId="742576D1" w:rsidR="000D6B8C" w:rsidRPr="0071085D" w:rsidDel="007711A1" w:rsidRDefault="000D6B8C" w:rsidP="00601620">
            <w:pPr>
              <w:widowControl w:val="0"/>
              <w:spacing w:line="480" w:lineRule="auto"/>
              <w:rPr>
                <w:sz w:val="20"/>
                <w:szCs w:val="20"/>
                <w:lang w:val="en-CA"/>
              </w:rPr>
            </w:pPr>
            <w:r w:rsidRPr="0071085D">
              <w:rPr>
                <w:sz w:val="20"/>
                <w:szCs w:val="20"/>
                <w:lang w:val="en-CA"/>
              </w:rPr>
              <w:t>13.1</w:t>
            </w:r>
          </w:p>
        </w:tc>
        <w:tc>
          <w:tcPr>
            <w:tcW w:w="1212" w:type="dxa"/>
            <w:tcBorders>
              <w:top w:val="nil"/>
              <w:left w:val="nil"/>
              <w:bottom w:val="nil"/>
              <w:right w:val="nil"/>
            </w:tcBorders>
          </w:tcPr>
          <w:p w14:paraId="34AC17D0" w14:textId="12BA744C" w:rsidR="000D6B8C" w:rsidRPr="0071085D" w:rsidDel="007711A1" w:rsidRDefault="000D6B8C" w:rsidP="00601620">
            <w:pPr>
              <w:widowControl w:val="0"/>
              <w:spacing w:line="480" w:lineRule="auto"/>
              <w:rPr>
                <w:sz w:val="20"/>
                <w:szCs w:val="20"/>
                <w:lang w:val="en-CA"/>
              </w:rPr>
            </w:pPr>
            <w:r w:rsidRPr="0071085D">
              <w:rPr>
                <w:sz w:val="20"/>
                <w:szCs w:val="20"/>
                <w:lang w:val="en-CA"/>
              </w:rPr>
              <w:t>9.1</w:t>
            </w:r>
          </w:p>
        </w:tc>
      </w:tr>
      <w:tr w:rsidR="000D6B8C" w:rsidRPr="0071085D" w14:paraId="4A9CAA35" w14:textId="77777777" w:rsidTr="00BE7EF5">
        <w:trPr>
          <w:gridAfter w:val="1"/>
          <w:wAfter w:w="86" w:type="dxa"/>
          <w:trHeight w:val="438"/>
        </w:trPr>
        <w:tc>
          <w:tcPr>
            <w:tcW w:w="3500" w:type="dxa"/>
            <w:tcBorders>
              <w:top w:val="nil"/>
              <w:left w:val="nil"/>
              <w:bottom w:val="nil"/>
              <w:right w:val="nil"/>
            </w:tcBorders>
          </w:tcPr>
          <w:p w14:paraId="6A0DD2AD" w14:textId="634A3F78" w:rsidR="000D6B8C" w:rsidRPr="0071085D" w:rsidRDefault="000D6B8C" w:rsidP="00601620">
            <w:pPr>
              <w:widowControl w:val="0"/>
              <w:spacing w:line="480" w:lineRule="auto"/>
              <w:ind w:left="175"/>
              <w:rPr>
                <w:sz w:val="20"/>
                <w:szCs w:val="20"/>
                <w:lang w:val="en-CA"/>
              </w:rPr>
            </w:pPr>
            <w:r w:rsidRPr="0071085D">
              <w:rPr>
                <w:sz w:val="20"/>
                <w:szCs w:val="20"/>
                <w:lang w:val="en-CA"/>
              </w:rPr>
              <w:t xml:space="preserve">Inconsistent w/ </w:t>
            </w:r>
            <w:r w:rsidR="009A17FB" w:rsidRPr="0071085D">
              <w:rPr>
                <w:sz w:val="20"/>
                <w:szCs w:val="20"/>
                <w:lang w:val="en-CA"/>
              </w:rPr>
              <w:t xml:space="preserve">committed </w:t>
            </w:r>
            <w:r w:rsidRPr="0071085D">
              <w:rPr>
                <w:sz w:val="20"/>
                <w:szCs w:val="20"/>
                <w:lang w:val="en-CA"/>
              </w:rPr>
              <w:t>only</w:t>
            </w:r>
          </w:p>
        </w:tc>
        <w:tc>
          <w:tcPr>
            <w:tcW w:w="1297" w:type="dxa"/>
            <w:gridSpan w:val="2"/>
            <w:tcBorders>
              <w:top w:val="nil"/>
              <w:left w:val="nil"/>
              <w:bottom w:val="nil"/>
              <w:right w:val="nil"/>
            </w:tcBorders>
          </w:tcPr>
          <w:p w14:paraId="2F58230C" w14:textId="080D0141" w:rsidR="000D6B8C" w:rsidRPr="0071085D" w:rsidDel="007711A1" w:rsidRDefault="000D6B8C" w:rsidP="00601620">
            <w:pPr>
              <w:widowControl w:val="0"/>
              <w:spacing w:line="480" w:lineRule="auto"/>
              <w:rPr>
                <w:sz w:val="20"/>
                <w:szCs w:val="20"/>
                <w:lang w:val="en-CA"/>
              </w:rPr>
            </w:pPr>
            <w:r w:rsidRPr="0071085D">
              <w:rPr>
                <w:sz w:val="20"/>
                <w:szCs w:val="20"/>
                <w:lang w:val="en-CA"/>
              </w:rPr>
              <w:t>38.2</w:t>
            </w:r>
          </w:p>
        </w:tc>
        <w:tc>
          <w:tcPr>
            <w:tcW w:w="1167" w:type="dxa"/>
            <w:tcBorders>
              <w:top w:val="nil"/>
              <w:left w:val="nil"/>
              <w:bottom w:val="nil"/>
              <w:right w:val="nil"/>
            </w:tcBorders>
          </w:tcPr>
          <w:p w14:paraId="634541EC" w14:textId="1DA49FA6"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nil"/>
              <w:right w:val="nil"/>
            </w:tcBorders>
          </w:tcPr>
          <w:p w14:paraId="72FEEE45" w14:textId="6851BD4B" w:rsidR="000D6B8C" w:rsidRPr="0071085D" w:rsidDel="007711A1" w:rsidRDefault="000D6B8C" w:rsidP="00601620">
            <w:pPr>
              <w:widowControl w:val="0"/>
              <w:spacing w:line="480" w:lineRule="auto"/>
              <w:rPr>
                <w:sz w:val="20"/>
                <w:szCs w:val="20"/>
                <w:lang w:val="en-CA"/>
              </w:rPr>
            </w:pPr>
            <w:r w:rsidRPr="0071085D">
              <w:rPr>
                <w:sz w:val="20"/>
                <w:szCs w:val="20"/>
                <w:lang w:val="en-CA"/>
              </w:rPr>
              <w:t>49.7</w:t>
            </w:r>
          </w:p>
        </w:tc>
        <w:tc>
          <w:tcPr>
            <w:tcW w:w="1297" w:type="dxa"/>
            <w:tcBorders>
              <w:top w:val="nil"/>
              <w:left w:val="nil"/>
              <w:bottom w:val="nil"/>
              <w:right w:val="nil"/>
            </w:tcBorders>
          </w:tcPr>
          <w:p w14:paraId="3907D0B7" w14:textId="5C4C14C7" w:rsidR="000D6B8C" w:rsidRPr="0071085D" w:rsidDel="007711A1" w:rsidRDefault="000D6B8C" w:rsidP="00601620">
            <w:pPr>
              <w:widowControl w:val="0"/>
              <w:spacing w:line="480" w:lineRule="auto"/>
              <w:rPr>
                <w:sz w:val="20"/>
                <w:szCs w:val="20"/>
                <w:lang w:val="en-CA"/>
              </w:rPr>
            </w:pPr>
            <w:r w:rsidRPr="0071085D">
              <w:rPr>
                <w:sz w:val="20"/>
                <w:szCs w:val="20"/>
                <w:lang w:val="en-CA"/>
              </w:rPr>
              <w:t>43.8</w:t>
            </w:r>
          </w:p>
        </w:tc>
        <w:tc>
          <w:tcPr>
            <w:tcW w:w="1212" w:type="dxa"/>
            <w:tcBorders>
              <w:top w:val="nil"/>
              <w:left w:val="nil"/>
              <w:bottom w:val="nil"/>
              <w:right w:val="nil"/>
            </w:tcBorders>
          </w:tcPr>
          <w:p w14:paraId="7BDEDBDC" w14:textId="160C4FFE" w:rsidR="000D6B8C" w:rsidRPr="0071085D" w:rsidDel="007711A1" w:rsidRDefault="000D6B8C" w:rsidP="00601620">
            <w:pPr>
              <w:widowControl w:val="0"/>
              <w:spacing w:line="480" w:lineRule="auto"/>
              <w:rPr>
                <w:sz w:val="20"/>
                <w:szCs w:val="20"/>
                <w:lang w:val="en-CA"/>
              </w:rPr>
            </w:pPr>
            <w:r w:rsidRPr="0071085D">
              <w:rPr>
                <w:sz w:val="20"/>
                <w:szCs w:val="20"/>
                <w:lang w:val="en-CA"/>
              </w:rPr>
              <w:t>26.4</w:t>
            </w:r>
          </w:p>
        </w:tc>
      </w:tr>
      <w:tr w:rsidR="000D6B8C" w:rsidRPr="0071085D" w14:paraId="3744D21A" w14:textId="77777777" w:rsidTr="00BE7EF5">
        <w:trPr>
          <w:gridAfter w:val="1"/>
          <w:wAfter w:w="86" w:type="dxa"/>
          <w:trHeight w:val="458"/>
        </w:trPr>
        <w:tc>
          <w:tcPr>
            <w:tcW w:w="3500" w:type="dxa"/>
            <w:tcBorders>
              <w:top w:val="nil"/>
              <w:left w:val="nil"/>
              <w:bottom w:val="nil"/>
              <w:right w:val="nil"/>
            </w:tcBorders>
          </w:tcPr>
          <w:p w14:paraId="2320FE13" w14:textId="26192A01" w:rsidR="000D6B8C" w:rsidRPr="0071085D" w:rsidRDefault="000D6B8C" w:rsidP="00601620">
            <w:pPr>
              <w:widowControl w:val="0"/>
              <w:spacing w:line="480" w:lineRule="auto"/>
              <w:ind w:left="175"/>
              <w:rPr>
                <w:sz w:val="20"/>
                <w:szCs w:val="20"/>
                <w:lang w:val="en-CA"/>
              </w:rPr>
            </w:pPr>
            <w:r w:rsidRPr="0071085D">
              <w:rPr>
                <w:sz w:val="20"/>
                <w:szCs w:val="20"/>
                <w:lang w:val="en-CA"/>
              </w:rPr>
              <w:t>Inconsistent w/ casual only</w:t>
            </w:r>
          </w:p>
        </w:tc>
        <w:tc>
          <w:tcPr>
            <w:tcW w:w="1297" w:type="dxa"/>
            <w:gridSpan w:val="2"/>
            <w:tcBorders>
              <w:top w:val="nil"/>
              <w:left w:val="nil"/>
              <w:bottom w:val="nil"/>
              <w:right w:val="nil"/>
            </w:tcBorders>
          </w:tcPr>
          <w:p w14:paraId="43BFD85F" w14:textId="311852D0" w:rsidR="000D6B8C" w:rsidRPr="0071085D" w:rsidDel="007711A1" w:rsidRDefault="000D6B8C" w:rsidP="00601620">
            <w:pPr>
              <w:widowControl w:val="0"/>
              <w:spacing w:line="480" w:lineRule="auto"/>
              <w:rPr>
                <w:sz w:val="20"/>
                <w:szCs w:val="20"/>
                <w:lang w:val="en-CA"/>
              </w:rPr>
            </w:pPr>
            <w:r w:rsidRPr="0071085D">
              <w:rPr>
                <w:sz w:val="20"/>
                <w:szCs w:val="20"/>
                <w:lang w:val="en-CA"/>
              </w:rPr>
              <w:t>4.8</w:t>
            </w:r>
          </w:p>
        </w:tc>
        <w:tc>
          <w:tcPr>
            <w:tcW w:w="1167" w:type="dxa"/>
            <w:tcBorders>
              <w:top w:val="nil"/>
              <w:left w:val="nil"/>
              <w:bottom w:val="nil"/>
              <w:right w:val="nil"/>
            </w:tcBorders>
          </w:tcPr>
          <w:p w14:paraId="31DC9A91" w14:textId="4F8D6FF5"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nil"/>
              <w:right w:val="nil"/>
            </w:tcBorders>
          </w:tcPr>
          <w:p w14:paraId="77226F49" w14:textId="22D7C22F" w:rsidR="000D6B8C" w:rsidRPr="0071085D" w:rsidDel="007711A1" w:rsidRDefault="000D6B8C" w:rsidP="00601620">
            <w:pPr>
              <w:widowControl w:val="0"/>
              <w:spacing w:line="480" w:lineRule="auto"/>
              <w:rPr>
                <w:sz w:val="20"/>
                <w:szCs w:val="20"/>
                <w:lang w:val="en-CA"/>
              </w:rPr>
            </w:pPr>
            <w:r w:rsidRPr="0071085D">
              <w:rPr>
                <w:sz w:val="20"/>
                <w:szCs w:val="20"/>
                <w:lang w:val="en-CA"/>
              </w:rPr>
              <w:t>2.7</w:t>
            </w:r>
          </w:p>
        </w:tc>
        <w:tc>
          <w:tcPr>
            <w:tcW w:w="1297" w:type="dxa"/>
            <w:tcBorders>
              <w:top w:val="nil"/>
              <w:left w:val="nil"/>
              <w:bottom w:val="nil"/>
              <w:right w:val="nil"/>
            </w:tcBorders>
          </w:tcPr>
          <w:p w14:paraId="7F142FB6" w14:textId="6DC60303" w:rsidR="000D6B8C" w:rsidRPr="0071085D" w:rsidDel="007711A1" w:rsidRDefault="000D6B8C" w:rsidP="00601620">
            <w:pPr>
              <w:widowControl w:val="0"/>
              <w:spacing w:line="480" w:lineRule="auto"/>
              <w:rPr>
                <w:sz w:val="20"/>
                <w:szCs w:val="20"/>
                <w:lang w:val="en-CA"/>
              </w:rPr>
            </w:pPr>
            <w:r w:rsidRPr="0071085D">
              <w:rPr>
                <w:sz w:val="20"/>
                <w:szCs w:val="20"/>
                <w:lang w:val="en-CA"/>
              </w:rPr>
              <w:t>8.4</w:t>
            </w:r>
          </w:p>
        </w:tc>
        <w:tc>
          <w:tcPr>
            <w:tcW w:w="1212" w:type="dxa"/>
            <w:tcBorders>
              <w:top w:val="nil"/>
              <w:left w:val="nil"/>
              <w:bottom w:val="nil"/>
              <w:right w:val="nil"/>
            </w:tcBorders>
          </w:tcPr>
          <w:p w14:paraId="44776469" w14:textId="71658894" w:rsidR="000D6B8C" w:rsidRPr="0071085D" w:rsidDel="007711A1" w:rsidRDefault="000D6B8C" w:rsidP="00601620">
            <w:pPr>
              <w:widowControl w:val="0"/>
              <w:spacing w:line="480" w:lineRule="auto"/>
              <w:rPr>
                <w:sz w:val="20"/>
                <w:szCs w:val="20"/>
                <w:lang w:val="en-CA"/>
              </w:rPr>
            </w:pPr>
            <w:r w:rsidRPr="0071085D">
              <w:rPr>
                <w:sz w:val="20"/>
                <w:szCs w:val="20"/>
                <w:lang w:val="en-CA"/>
              </w:rPr>
              <w:t>3.8</w:t>
            </w:r>
          </w:p>
        </w:tc>
      </w:tr>
      <w:tr w:rsidR="000D6B8C" w:rsidRPr="0071085D" w14:paraId="321628BA" w14:textId="77777777" w:rsidTr="00BE7EF5">
        <w:trPr>
          <w:gridAfter w:val="1"/>
          <w:wAfter w:w="86" w:type="dxa"/>
          <w:trHeight w:val="438"/>
        </w:trPr>
        <w:tc>
          <w:tcPr>
            <w:tcW w:w="3500" w:type="dxa"/>
            <w:tcBorders>
              <w:top w:val="nil"/>
              <w:left w:val="nil"/>
              <w:bottom w:val="single" w:sz="4" w:space="0" w:color="auto"/>
              <w:right w:val="nil"/>
            </w:tcBorders>
          </w:tcPr>
          <w:p w14:paraId="56F86A74" w14:textId="3271C2A0" w:rsidR="000D6B8C" w:rsidRPr="0071085D" w:rsidRDefault="000D6B8C" w:rsidP="00601620">
            <w:pPr>
              <w:widowControl w:val="0"/>
              <w:spacing w:line="480" w:lineRule="auto"/>
              <w:ind w:left="175"/>
              <w:rPr>
                <w:sz w:val="20"/>
                <w:szCs w:val="20"/>
                <w:lang w:val="en-CA"/>
              </w:rPr>
            </w:pPr>
            <w:proofErr w:type="spellStart"/>
            <w:r w:rsidRPr="0071085D">
              <w:rPr>
                <w:sz w:val="20"/>
                <w:szCs w:val="20"/>
                <w:lang w:val="en-CA"/>
              </w:rPr>
              <w:t>Inconsist</w:t>
            </w:r>
            <w:proofErr w:type="spellEnd"/>
            <w:r w:rsidRPr="0071085D">
              <w:rPr>
                <w:sz w:val="20"/>
                <w:szCs w:val="20"/>
                <w:lang w:val="en-CA"/>
              </w:rPr>
              <w:t xml:space="preserve">. w/ casual &amp; </w:t>
            </w:r>
            <w:r w:rsidR="009A17FB" w:rsidRPr="0071085D">
              <w:rPr>
                <w:sz w:val="20"/>
                <w:szCs w:val="20"/>
                <w:lang w:val="en-CA"/>
              </w:rPr>
              <w:t>committed</w:t>
            </w:r>
          </w:p>
        </w:tc>
        <w:tc>
          <w:tcPr>
            <w:tcW w:w="1297" w:type="dxa"/>
            <w:gridSpan w:val="2"/>
            <w:tcBorders>
              <w:top w:val="nil"/>
              <w:left w:val="nil"/>
              <w:bottom w:val="single" w:sz="4" w:space="0" w:color="auto"/>
              <w:right w:val="nil"/>
            </w:tcBorders>
          </w:tcPr>
          <w:p w14:paraId="1318B85D" w14:textId="2C1F0D0C" w:rsidR="000D6B8C" w:rsidRPr="0071085D" w:rsidDel="007711A1" w:rsidRDefault="000D6B8C" w:rsidP="00601620">
            <w:pPr>
              <w:widowControl w:val="0"/>
              <w:spacing w:line="480" w:lineRule="auto"/>
              <w:rPr>
                <w:sz w:val="20"/>
                <w:szCs w:val="20"/>
                <w:lang w:val="en-CA"/>
              </w:rPr>
            </w:pPr>
            <w:r w:rsidRPr="0071085D">
              <w:rPr>
                <w:sz w:val="20"/>
                <w:szCs w:val="20"/>
                <w:lang w:val="en-CA"/>
              </w:rPr>
              <w:t>25.2</w:t>
            </w:r>
          </w:p>
        </w:tc>
        <w:tc>
          <w:tcPr>
            <w:tcW w:w="1167" w:type="dxa"/>
            <w:tcBorders>
              <w:top w:val="nil"/>
              <w:left w:val="nil"/>
              <w:bottom w:val="single" w:sz="4" w:space="0" w:color="auto"/>
              <w:right w:val="nil"/>
            </w:tcBorders>
          </w:tcPr>
          <w:p w14:paraId="3665818E" w14:textId="000CDCE1" w:rsidR="000D6B8C" w:rsidRPr="0071085D" w:rsidDel="007711A1" w:rsidRDefault="000D6B8C" w:rsidP="00601620">
            <w:pPr>
              <w:widowControl w:val="0"/>
              <w:spacing w:line="480" w:lineRule="auto"/>
              <w:rPr>
                <w:sz w:val="20"/>
                <w:szCs w:val="20"/>
                <w:lang w:val="en-CA"/>
              </w:rPr>
            </w:pPr>
            <w:r w:rsidRPr="0071085D">
              <w:rPr>
                <w:sz w:val="20"/>
                <w:szCs w:val="20"/>
                <w:lang w:val="en-CA"/>
              </w:rPr>
              <w:t>0.0</w:t>
            </w:r>
          </w:p>
        </w:tc>
        <w:tc>
          <w:tcPr>
            <w:tcW w:w="1166" w:type="dxa"/>
            <w:gridSpan w:val="2"/>
            <w:tcBorders>
              <w:top w:val="nil"/>
              <w:left w:val="nil"/>
              <w:bottom w:val="single" w:sz="4" w:space="0" w:color="auto"/>
              <w:right w:val="nil"/>
            </w:tcBorders>
          </w:tcPr>
          <w:p w14:paraId="6F280025" w14:textId="4A415A0B" w:rsidR="000D6B8C" w:rsidRPr="0071085D" w:rsidDel="007711A1" w:rsidRDefault="000D6B8C" w:rsidP="00601620">
            <w:pPr>
              <w:widowControl w:val="0"/>
              <w:spacing w:line="480" w:lineRule="auto"/>
              <w:rPr>
                <w:sz w:val="20"/>
                <w:szCs w:val="20"/>
                <w:lang w:val="en-CA"/>
              </w:rPr>
            </w:pPr>
            <w:r w:rsidRPr="0071085D">
              <w:rPr>
                <w:sz w:val="20"/>
                <w:szCs w:val="20"/>
                <w:lang w:val="en-CA"/>
              </w:rPr>
              <w:t>14.0</w:t>
            </w:r>
          </w:p>
        </w:tc>
        <w:tc>
          <w:tcPr>
            <w:tcW w:w="1297" w:type="dxa"/>
            <w:tcBorders>
              <w:top w:val="nil"/>
              <w:left w:val="nil"/>
              <w:bottom w:val="single" w:sz="4" w:space="0" w:color="auto"/>
              <w:right w:val="nil"/>
            </w:tcBorders>
          </w:tcPr>
          <w:p w14:paraId="6C9A8A4B" w14:textId="606E796F" w:rsidR="000D6B8C" w:rsidRPr="0071085D" w:rsidDel="007711A1" w:rsidRDefault="000D6B8C" w:rsidP="00601620">
            <w:pPr>
              <w:widowControl w:val="0"/>
              <w:spacing w:line="480" w:lineRule="auto"/>
              <w:rPr>
                <w:sz w:val="20"/>
                <w:szCs w:val="20"/>
                <w:lang w:val="en-CA"/>
              </w:rPr>
            </w:pPr>
            <w:r w:rsidRPr="0071085D">
              <w:rPr>
                <w:sz w:val="20"/>
                <w:szCs w:val="20"/>
                <w:lang w:val="en-CA"/>
              </w:rPr>
              <w:t>34.7</w:t>
            </w:r>
          </w:p>
        </w:tc>
        <w:tc>
          <w:tcPr>
            <w:tcW w:w="1212" w:type="dxa"/>
            <w:tcBorders>
              <w:top w:val="nil"/>
              <w:left w:val="nil"/>
              <w:bottom w:val="single" w:sz="4" w:space="0" w:color="auto"/>
              <w:right w:val="nil"/>
            </w:tcBorders>
          </w:tcPr>
          <w:p w14:paraId="7FB84D03" w14:textId="5F3596A4" w:rsidR="000D6B8C" w:rsidRPr="0071085D" w:rsidDel="007711A1" w:rsidRDefault="000D6B8C" w:rsidP="00601620">
            <w:pPr>
              <w:widowControl w:val="0"/>
              <w:spacing w:line="480" w:lineRule="auto"/>
              <w:rPr>
                <w:sz w:val="20"/>
                <w:szCs w:val="20"/>
                <w:lang w:val="en-CA"/>
              </w:rPr>
            </w:pPr>
            <w:r w:rsidRPr="0071085D">
              <w:rPr>
                <w:sz w:val="20"/>
                <w:szCs w:val="20"/>
                <w:lang w:val="en-CA"/>
              </w:rPr>
              <w:t>59.0</w:t>
            </w:r>
          </w:p>
        </w:tc>
      </w:tr>
      <w:tr w:rsidR="000D6B8C" w:rsidRPr="0071085D" w14:paraId="72EF3C99" w14:textId="77777777" w:rsidTr="00BE7EF5">
        <w:trPr>
          <w:gridAfter w:val="1"/>
          <w:wAfter w:w="86" w:type="dxa"/>
          <w:trHeight w:val="896"/>
        </w:trPr>
        <w:tc>
          <w:tcPr>
            <w:tcW w:w="3500" w:type="dxa"/>
            <w:tcBorders>
              <w:top w:val="single" w:sz="4" w:space="0" w:color="auto"/>
              <w:left w:val="nil"/>
              <w:bottom w:val="single" w:sz="4" w:space="0" w:color="auto"/>
              <w:right w:val="nil"/>
            </w:tcBorders>
          </w:tcPr>
          <w:p w14:paraId="2E75AE0F" w14:textId="5087D8B3" w:rsidR="000D6B8C" w:rsidRPr="0071085D" w:rsidRDefault="000D6B8C" w:rsidP="00601620">
            <w:pPr>
              <w:widowControl w:val="0"/>
              <w:spacing w:line="480" w:lineRule="auto"/>
              <w:ind w:left="33"/>
              <w:rPr>
                <w:sz w:val="20"/>
                <w:szCs w:val="20"/>
                <w:lang w:val="en-CA"/>
              </w:rPr>
            </w:pPr>
            <w:r w:rsidRPr="0071085D">
              <w:rPr>
                <w:sz w:val="20"/>
                <w:szCs w:val="20"/>
                <w:lang w:val="en-CA"/>
              </w:rPr>
              <w:t xml:space="preserve">(4) Sum of </w:t>
            </w:r>
            <w:r w:rsidR="00AF22FC" w:rsidRPr="0071085D">
              <w:rPr>
                <w:sz w:val="20"/>
                <w:szCs w:val="20"/>
                <w:lang w:val="en-CA"/>
              </w:rPr>
              <w:t>u</w:t>
            </w:r>
            <w:r w:rsidRPr="0071085D">
              <w:rPr>
                <w:sz w:val="20"/>
                <w:szCs w:val="20"/>
                <w:lang w:val="en-CA"/>
              </w:rPr>
              <w:t>nconventional sexual behaviors</w:t>
            </w:r>
            <w:r w:rsidR="00AF22FC" w:rsidRPr="0071085D">
              <w:rPr>
                <w:sz w:val="20"/>
                <w:szCs w:val="20"/>
                <w:lang w:val="en-CA"/>
              </w:rPr>
              <w:t xml:space="preserve"> </w:t>
            </w:r>
            <w:r w:rsidRPr="0071085D">
              <w:rPr>
                <w:sz w:val="20"/>
                <w:szCs w:val="20"/>
                <w:lang w:val="en-CA"/>
              </w:rPr>
              <w:t xml:space="preserve">[0-4] </w:t>
            </w:r>
          </w:p>
        </w:tc>
        <w:tc>
          <w:tcPr>
            <w:tcW w:w="1297" w:type="dxa"/>
            <w:gridSpan w:val="2"/>
            <w:tcBorders>
              <w:top w:val="single" w:sz="4" w:space="0" w:color="auto"/>
              <w:left w:val="nil"/>
              <w:bottom w:val="single" w:sz="4" w:space="0" w:color="auto"/>
              <w:right w:val="nil"/>
            </w:tcBorders>
          </w:tcPr>
          <w:p w14:paraId="73A34984" w14:textId="513C040A" w:rsidR="000D6B8C" w:rsidRPr="0071085D" w:rsidDel="007711A1" w:rsidRDefault="000D6B8C" w:rsidP="00601620">
            <w:pPr>
              <w:widowControl w:val="0"/>
              <w:spacing w:line="480" w:lineRule="auto"/>
              <w:rPr>
                <w:sz w:val="20"/>
                <w:szCs w:val="20"/>
                <w:lang w:val="en-CA"/>
              </w:rPr>
            </w:pPr>
            <w:r w:rsidRPr="0071085D">
              <w:rPr>
                <w:sz w:val="20"/>
                <w:szCs w:val="20"/>
                <w:lang w:val="en-CA"/>
              </w:rPr>
              <w:t>.97 (1.08)</w:t>
            </w:r>
          </w:p>
        </w:tc>
        <w:tc>
          <w:tcPr>
            <w:tcW w:w="1167" w:type="dxa"/>
            <w:tcBorders>
              <w:top w:val="single" w:sz="4" w:space="0" w:color="auto"/>
              <w:left w:val="nil"/>
              <w:bottom w:val="single" w:sz="4" w:space="0" w:color="auto"/>
              <w:right w:val="nil"/>
            </w:tcBorders>
          </w:tcPr>
          <w:p w14:paraId="5A484583" w14:textId="48A70220" w:rsidR="000D6B8C" w:rsidRPr="0071085D" w:rsidDel="007711A1" w:rsidRDefault="000D6B8C" w:rsidP="00601620">
            <w:pPr>
              <w:widowControl w:val="0"/>
              <w:spacing w:line="480" w:lineRule="auto"/>
              <w:rPr>
                <w:sz w:val="20"/>
                <w:szCs w:val="20"/>
                <w:lang w:val="en-CA"/>
              </w:rPr>
            </w:pPr>
            <w:r w:rsidRPr="0071085D">
              <w:rPr>
                <w:sz w:val="20"/>
                <w:szCs w:val="20"/>
                <w:lang w:val="en-CA"/>
              </w:rPr>
              <w:t>0.0 (0.0)</w:t>
            </w:r>
          </w:p>
        </w:tc>
        <w:tc>
          <w:tcPr>
            <w:tcW w:w="1166" w:type="dxa"/>
            <w:gridSpan w:val="2"/>
            <w:tcBorders>
              <w:top w:val="single" w:sz="4" w:space="0" w:color="auto"/>
              <w:left w:val="nil"/>
              <w:bottom w:val="single" w:sz="4" w:space="0" w:color="auto"/>
              <w:right w:val="nil"/>
            </w:tcBorders>
          </w:tcPr>
          <w:p w14:paraId="219F9679" w14:textId="48283116" w:rsidR="000D6B8C" w:rsidRPr="0071085D" w:rsidDel="007711A1" w:rsidRDefault="000D6B8C" w:rsidP="00601620">
            <w:pPr>
              <w:widowControl w:val="0"/>
              <w:spacing w:line="480" w:lineRule="auto"/>
              <w:rPr>
                <w:sz w:val="20"/>
                <w:szCs w:val="20"/>
                <w:lang w:val="en-CA"/>
              </w:rPr>
            </w:pPr>
            <w:r w:rsidRPr="0071085D">
              <w:rPr>
                <w:sz w:val="20"/>
                <w:szCs w:val="20"/>
                <w:lang w:val="en-CA"/>
              </w:rPr>
              <w:t>.58 (.79)</w:t>
            </w:r>
          </w:p>
        </w:tc>
        <w:tc>
          <w:tcPr>
            <w:tcW w:w="1297" w:type="dxa"/>
            <w:tcBorders>
              <w:top w:val="single" w:sz="4" w:space="0" w:color="auto"/>
              <w:left w:val="nil"/>
              <w:bottom w:val="single" w:sz="4" w:space="0" w:color="auto"/>
              <w:right w:val="nil"/>
            </w:tcBorders>
          </w:tcPr>
          <w:p w14:paraId="025C584F" w14:textId="09356E2B" w:rsidR="000D6B8C" w:rsidRPr="0071085D" w:rsidDel="007711A1" w:rsidRDefault="000D6B8C" w:rsidP="00601620">
            <w:pPr>
              <w:widowControl w:val="0"/>
              <w:spacing w:line="480" w:lineRule="auto"/>
              <w:rPr>
                <w:sz w:val="20"/>
                <w:szCs w:val="20"/>
                <w:lang w:val="en-CA"/>
              </w:rPr>
            </w:pPr>
            <w:r w:rsidRPr="0071085D">
              <w:rPr>
                <w:sz w:val="20"/>
                <w:szCs w:val="20"/>
                <w:lang w:val="en-CA"/>
              </w:rPr>
              <w:t>1.33 (1.04)</w:t>
            </w:r>
          </w:p>
        </w:tc>
        <w:tc>
          <w:tcPr>
            <w:tcW w:w="1212" w:type="dxa"/>
            <w:tcBorders>
              <w:top w:val="single" w:sz="4" w:space="0" w:color="auto"/>
              <w:left w:val="nil"/>
              <w:bottom w:val="single" w:sz="4" w:space="0" w:color="auto"/>
              <w:right w:val="nil"/>
            </w:tcBorders>
          </w:tcPr>
          <w:p w14:paraId="2BB47297" w14:textId="25E0FB9B" w:rsidR="000D6B8C" w:rsidRPr="0071085D" w:rsidDel="007711A1" w:rsidRDefault="000D6B8C" w:rsidP="00601620">
            <w:pPr>
              <w:widowControl w:val="0"/>
              <w:spacing w:line="480" w:lineRule="auto"/>
              <w:rPr>
                <w:sz w:val="20"/>
                <w:szCs w:val="20"/>
                <w:lang w:val="en-CA"/>
              </w:rPr>
            </w:pPr>
            <w:r w:rsidRPr="0071085D">
              <w:rPr>
                <w:sz w:val="20"/>
                <w:szCs w:val="20"/>
                <w:lang w:val="en-CA"/>
              </w:rPr>
              <w:t>2.19 (1.2)</w:t>
            </w:r>
          </w:p>
        </w:tc>
      </w:tr>
      <w:tr w:rsidR="000D6B8C" w:rsidRPr="0071085D" w14:paraId="49E33701" w14:textId="77777777" w:rsidTr="00BE7EF5">
        <w:trPr>
          <w:gridAfter w:val="1"/>
          <w:wAfter w:w="86" w:type="dxa"/>
          <w:trHeight w:val="458"/>
        </w:trPr>
        <w:tc>
          <w:tcPr>
            <w:tcW w:w="3500" w:type="dxa"/>
            <w:tcBorders>
              <w:top w:val="single" w:sz="4" w:space="0" w:color="auto"/>
              <w:left w:val="nil"/>
              <w:bottom w:val="single" w:sz="4" w:space="0" w:color="auto"/>
              <w:right w:val="nil"/>
            </w:tcBorders>
          </w:tcPr>
          <w:p w14:paraId="726719FE" w14:textId="40E161C2" w:rsidR="000D6B8C" w:rsidRPr="0071085D" w:rsidRDefault="000D6B8C" w:rsidP="00601620">
            <w:pPr>
              <w:widowControl w:val="0"/>
              <w:spacing w:line="480" w:lineRule="auto"/>
              <w:ind w:left="33"/>
              <w:rPr>
                <w:sz w:val="20"/>
                <w:szCs w:val="20"/>
                <w:lang w:val="en-CA"/>
              </w:rPr>
            </w:pPr>
            <w:r w:rsidRPr="0071085D">
              <w:rPr>
                <w:sz w:val="20"/>
                <w:szCs w:val="20"/>
                <w:lang w:val="en-CA"/>
              </w:rPr>
              <w:t xml:space="preserve">(5) Mean </w:t>
            </w:r>
            <w:r w:rsidR="00FC09A0" w:rsidRPr="0071085D">
              <w:rPr>
                <w:sz w:val="20"/>
                <w:szCs w:val="20"/>
                <w:lang w:val="en-CA"/>
              </w:rPr>
              <w:t>Binge drinking</w:t>
            </w:r>
            <w:r w:rsidRPr="0071085D">
              <w:rPr>
                <w:sz w:val="20"/>
                <w:szCs w:val="20"/>
                <w:lang w:val="en-CA"/>
              </w:rPr>
              <w:t xml:space="preserve"> episodes (S. </w:t>
            </w:r>
            <w:proofErr w:type="gramStart"/>
            <w:r w:rsidRPr="0071085D">
              <w:rPr>
                <w:sz w:val="20"/>
                <w:szCs w:val="20"/>
                <w:lang w:val="en-CA"/>
              </w:rPr>
              <w:t>D.)</w:t>
            </w:r>
            <w:r w:rsidRPr="0071085D">
              <w:rPr>
                <w:sz w:val="20"/>
                <w:szCs w:val="20"/>
                <w:vertAlign w:val="superscript"/>
                <w:lang w:val="en-CA"/>
              </w:rPr>
              <w:t>a</w:t>
            </w:r>
            <w:proofErr w:type="gramEnd"/>
          </w:p>
        </w:tc>
        <w:tc>
          <w:tcPr>
            <w:tcW w:w="1297" w:type="dxa"/>
            <w:gridSpan w:val="2"/>
            <w:tcBorders>
              <w:top w:val="single" w:sz="4" w:space="0" w:color="auto"/>
              <w:left w:val="nil"/>
              <w:bottom w:val="single" w:sz="4" w:space="0" w:color="auto"/>
              <w:right w:val="nil"/>
            </w:tcBorders>
          </w:tcPr>
          <w:p w14:paraId="785D0E8B" w14:textId="6D864BB6" w:rsidR="000D6B8C" w:rsidRPr="0071085D" w:rsidDel="007711A1" w:rsidRDefault="000D6B8C" w:rsidP="00601620">
            <w:pPr>
              <w:widowControl w:val="0"/>
              <w:spacing w:line="480" w:lineRule="auto"/>
              <w:rPr>
                <w:sz w:val="20"/>
                <w:szCs w:val="20"/>
                <w:lang w:val="en-CA"/>
              </w:rPr>
            </w:pPr>
            <w:r w:rsidRPr="0071085D">
              <w:rPr>
                <w:sz w:val="20"/>
                <w:szCs w:val="20"/>
                <w:lang w:val="en-CA"/>
              </w:rPr>
              <w:t>15.18 (29.19)</w:t>
            </w:r>
          </w:p>
        </w:tc>
        <w:tc>
          <w:tcPr>
            <w:tcW w:w="1167" w:type="dxa"/>
            <w:tcBorders>
              <w:top w:val="single" w:sz="4" w:space="0" w:color="auto"/>
              <w:left w:val="nil"/>
              <w:bottom w:val="single" w:sz="4" w:space="0" w:color="auto"/>
              <w:right w:val="nil"/>
            </w:tcBorders>
          </w:tcPr>
          <w:p w14:paraId="2503F2A5" w14:textId="4A094FE1" w:rsidR="000D6B8C" w:rsidRPr="0071085D" w:rsidDel="007711A1" w:rsidRDefault="000D6B8C" w:rsidP="00601620">
            <w:pPr>
              <w:widowControl w:val="0"/>
              <w:spacing w:line="480" w:lineRule="auto"/>
              <w:rPr>
                <w:sz w:val="20"/>
                <w:szCs w:val="20"/>
                <w:lang w:val="en-CA"/>
              </w:rPr>
            </w:pPr>
            <w:r w:rsidRPr="0071085D">
              <w:rPr>
                <w:sz w:val="20"/>
                <w:szCs w:val="20"/>
                <w:lang w:val="en-CA"/>
              </w:rPr>
              <w:t>6.64 (14.50)</w:t>
            </w:r>
          </w:p>
        </w:tc>
        <w:tc>
          <w:tcPr>
            <w:tcW w:w="1166" w:type="dxa"/>
            <w:gridSpan w:val="2"/>
            <w:tcBorders>
              <w:top w:val="single" w:sz="4" w:space="0" w:color="auto"/>
              <w:left w:val="nil"/>
              <w:bottom w:val="single" w:sz="4" w:space="0" w:color="auto"/>
              <w:right w:val="nil"/>
            </w:tcBorders>
          </w:tcPr>
          <w:p w14:paraId="23805911" w14:textId="48EFF1B5" w:rsidR="000D6B8C" w:rsidRPr="0071085D" w:rsidDel="007711A1" w:rsidRDefault="000D6B8C" w:rsidP="00601620">
            <w:pPr>
              <w:widowControl w:val="0"/>
              <w:spacing w:line="480" w:lineRule="auto"/>
              <w:rPr>
                <w:sz w:val="20"/>
                <w:szCs w:val="20"/>
                <w:lang w:val="en-CA"/>
              </w:rPr>
            </w:pPr>
            <w:r w:rsidRPr="0071085D">
              <w:rPr>
                <w:sz w:val="20"/>
                <w:szCs w:val="20"/>
                <w:lang w:val="en-CA"/>
              </w:rPr>
              <w:t>5.59 (10.07)</w:t>
            </w:r>
          </w:p>
        </w:tc>
        <w:tc>
          <w:tcPr>
            <w:tcW w:w="1297" w:type="dxa"/>
            <w:tcBorders>
              <w:top w:val="single" w:sz="4" w:space="0" w:color="auto"/>
              <w:left w:val="nil"/>
              <w:bottom w:val="single" w:sz="4" w:space="0" w:color="auto"/>
              <w:right w:val="nil"/>
            </w:tcBorders>
          </w:tcPr>
          <w:p w14:paraId="0DE5B2B3" w14:textId="61D02F1A" w:rsidR="000D6B8C" w:rsidRPr="0071085D" w:rsidDel="007711A1" w:rsidRDefault="000D6B8C" w:rsidP="00601620">
            <w:pPr>
              <w:widowControl w:val="0"/>
              <w:spacing w:line="480" w:lineRule="auto"/>
              <w:rPr>
                <w:sz w:val="20"/>
                <w:szCs w:val="20"/>
                <w:lang w:val="en-CA"/>
              </w:rPr>
            </w:pPr>
            <w:r w:rsidRPr="0071085D">
              <w:rPr>
                <w:sz w:val="20"/>
                <w:szCs w:val="20"/>
                <w:lang w:val="en-CA"/>
              </w:rPr>
              <w:t>21.35 (33.56)</w:t>
            </w:r>
          </w:p>
        </w:tc>
        <w:tc>
          <w:tcPr>
            <w:tcW w:w="1212" w:type="dxa"/>
            <w:tcBorders>
              <w:top w:val="single" w:sz="4" w:space="0" w:color="auto"/>
              <w:left w:val="nil"/>
              <w:bottom w:val="single" w:sz="4" w:space="0" w:color="auto"/>
              <w:right w:val="nil"/>
            </w:tcBorders>
          </w:tcPr>
          <w:p w14:paraId="4005487B" w14:textId="43211D9C" w:rsidR="000D6B8C" w:rsidRPr="0071085D" w:rsidDel="007711A1" w:rsidRDefault="000D6B8C" w:rsidP="00601620">
            <w:pPr>
              <w:widowControl w:val="0"/>
              <w:spacing w:line="480" w:lineRule="auto"/>
              <w:rPr>
                <w:sz w:val="20"/>
                <w:szCs w:val="20"/>
                <w:lang w:val="en-CA"/>
              </w:rPr>
            </w:pPr>
            <w:r w:rsidRPr="0071085D">
              <w:rPr>
                <w:sz w:val="20"/>
                <w:szCs w:val="20"/>
                <w:lang w:val="en-CA"/>
              </w:rPr>
              <w:t>34.82 (48.52)</w:t>
            </w:r>
          </w:p>
        </w:tc>
      </w:tr>
      <w:tr w:rsidR="000D6B8C" w:rsidRPr="0071085D" w14:paraId="09BFDEDA" w14:textId="77777777" w:rsidTr="00BE7EF5">
        <w:trPr>
          <w:gridAfter w:val="1"/>
          <w:wAfter w:w="86" w:type="dxa"/>
          <w:trHeight w:val="458"/>
        </w:trPr>
        <w:tc>
          <w:tcPr>
            <w:tcW w:w="3500" w:type="dxa"/>
            <w:tcBorders>
              <w:top w:val="single" w:sz="4" w:space="0" w:color="auto"/>
              <w:left w:val="nil"/>
              <w:bottom w:val="single" w:sz="4" w:space="0" w:color="auto"/>
              <w:right w:val="nil"/>
            </w:tcBorders>
          </w:tcPr>
          <w:p w14:paraId="5E20B661" w14:textId="76724F4E" w:rsidR="000D6B8C" w:rsidRPr="0071085D" w:rsidRDefault="000D6B8C" w:rsidP="00601620">
            <w:pPr>
              <w:widowControl w:val="0"/>
              <w:spacing w:line="480" w:lineRule="auto"/>
              <w:ind w:left="33"/>
              <w:rPr>
                <w:sz w:val="20"/>
                <w:szCs w:val="20"/>
                <w:lang w:val="en-CA"/>
              </w:rPr>
            </w:pPr>
            <w:r w:rsidRPr="0071085D">
              <w:rPr>
                <w:sz w:val="20"/>
                <w:szCs w:val="20"/>
                <w:lang w:val="en-CA"/>
              </w:rPr>
              <w:t>(6) Mean Number of substances used (S. D.)</w:t>
            </w:r>
          </w:p>
        </w:tc>
        <w:tc>
          <w:tcPr>
            <w:tcW w:w="1297" w:type="dxa"/>
            <w:gridSpan w:val="2"/>
            <w:tcBorders>
              <w:top w:val="single" w:sz="4" w:space="0" w:color="auto"/>
              <w:left w:val="nil"/>
              <w:bottom w:val="single" w:sz="4" w:space="0" w:color="auto"/>
              <w:right w:val="nil"/>
            </w:tcBorders>
          </w:tcPr>
          <w:p w14:paraId="280192FD" w14:textId="63E8C453" w:rsidR="000D6B8C" w:rsidRPr="0071085D" w:rsidDel="007711A1" w:rsidRDefault="000D6B8C" w:rsidP="00601620">
            <w:pPr>
              <w:widowControl w:val="0"/>
              <w:spacing w:line="480" w:lineRule="auto"/>
              <w:rPr>
                <w:sz w:val="20"/>
                <w:szCs w:val="20"/>
                <w:lang w:val="en-CA"/>
              </w:rPr>
            </w:pPr>
            <w:r w:rsidRPr="0071085D">
              <w:rPr>
                <w:sz w:val="20"/>
                <w:szCs w:val="20"/>
                <w:lang w:val="en-CA"/>
              </w:rPr>
              <w:t>3.13 (2.42)</w:t>
            </w:r>
          </w:p>
        </w:tc>
        <w:tc>
          <w:tcPr>
            <w:tcW w:w="1167" w:type="dxa"/>
            <w:tcBorders>
              <w:top w:val="single" w:sz="4" w:space="0" w:color="auto"/>
              <w:left w:val="nil"/>
              <w:bottom w:val="single" w:sz="4" w:space="0" w:color="auto"/>
              <w:right w:val="nil"/>
            </w:tcBorders>
          </w:tcPr>
          <w:p w14:paraId="5F70AF07" w14:textId="624A44CD" w:rsidR="000D6B8C" w:rsidRPr="0071085D" w:rsidDel="007711A1" w:rsidRDefault="000D6B8C" w:rsidP="00601620">
            <w:pPr>
              <w:widowControl w:val="0"/>
              <w:spacing w:line="480" w:lineRule="auto"/>
              <w:rPr>
                <w:sz w:val="20"/>
                <w:szCs w:val="20"/>
                <w:lang w:val="en-CA"/>
              </w:rPr>
            </w:pPr>
            <w:r w:rsidRPr="0071085D">
              <w:rPr>
                <w:sz w:val="20"/>
                <w:szCs w:val="20"/>
                <w:lang w:val="en-CA"/>
              </w:rPr>
              <w:t>1.74 (1.08)</w:t>
            </w:r>
          </w:p>
        </w:tc>
        <w:tc>
          <w:tcPr>
            <w:tcW w:w="1166" w:type="dxa"/>
            <w:gridSpan w:val="2"/>
            <w:tcBorders>
              <w:top w:val="single" w:sz="4" w:space="0" w:color="auto"/>
              <w:left w:val="nil"/>
              <w:bottom w:val="single" w:sz="4" w:space="0" w:color="auto"/>
              <w:right w:val="nil"/>
            </w:tcBorders>
          </w:tcPr>
          <w:p w14:paraId="00F78573" w14:textId="381888FE" w:rsidR="000D6B8C" w:rsidRPr="0071085D" w:rsidDel="007711A1" w:rsidRDefault="000D6B8C" w:rsidP="00601620">
            <w:pPr>
              <w:widowControl w:val="0"/>
              <w:spacing w:line="480" w:lineRule="auto"/>
              <w:rPr>
                <w:sz w:val="20"/>
                <w:szCs w:val="20"/>
                <w:lang w:val="en-CA"/>
              </w:rPr>
            </w:pPr>
            <w:r w:rsidRPr="0071085D">
              <w:rPr>
                <w:sz w:val="20"/>
                <w:szCs w:val="20"/>
                <w:lang w:val="en-CA"/>
              </w:rPr>
              <w:t>2.01 (1.63)</w:t>
            </w:r>
          </w:p>
        </w:tc>
        <w:tc>
          <w:tcPr>
            <w:tcW w:w="1297" w:type="dxa"/>
            <w:tcBorders>
              <w:top w:val="single" w:sz="4" w:space="0" w:color="auto"/>
              <w:left w:val="nil"/>
              <w:bottom w:val="single" w:sz="4" w:space="0" w:color="auto"/>
              <w:right w:val="nil"/>
            </w:tcBorders>
          </w:tcPr>
          <w:p w14:paraId="32C74174" w14:textId="0AABDD3A" w:rsidR="000D6B8C" w:rsidRPr="0071085D" w:rsidDel="007711A1" w:rsidRDefault="000D6B8C" w:rsidP="00601620">
            <w:pPr>
              <w:widowControl w:val="0"/>
              <w:spacing w:line="480" w:lineRule="auto"/>
              <w:rPr>
                <w:sz w:val="20"/>
                <w:szCs w:val="20"/>
                <w:lang w:val="en-CA"/>
              </w:rPr>
            </w:pPr>
            <w:r w:rsidRPr="0071085D">
              <w:rPr>
                <w:sz w:val="20"/>
                <w:szCs w:val="20"/>
                <w:lang w:val="en-CA"/>
              </w:rPr>
              <w:t>2.71 (2.19)</w:t>
            </w:r>
          </w:p>
        </w:tc>
        <w:tc>
          <w:tcPr>
            <w:tcW w:w="1212" w:type="dxa"/>
            <w:tcBorders>
              <w:top w:val="single" w:sz="4" w:space="0" w:color="auto"/>
              <w:left w:val="nil"/>
              <w:bottom w:val="single" w:sz="4" w:space="0" w:color="auto"/>
              <w:right w:val="nil"/>
            </w:tcBorders>
          </w:tcPr>
          <w:p w14:paraId="2126CD38" w14:textId="6879BB44" w:rsidR="000D6B8C" w:rsidRPr="0071085D" w:rsidDel="007711A1" w:rsidRDefault="000D6B8C" w:rsidP="00601620">
            <w:pPr>
              <w:widowControl w:val="0"/>
              <w:spacing w:line="480" w:lineRule="auto"/>
              <w:rPr>
                <w:sz w:val="20"/>
                <w:szCs w:val="20"/>
                <w:lang w:val="en-CA"/>
              </w:rPr>
            </w:pPr>
            <w:r w:rsidRPr="0071085D">
              <w:rPr>
                <w:sz w:val="20"/>
                <w:szCs w:val="20"/>
                <w:lang w:val="en-CA"/>
              </w:rPr>
              <w:t>6.79 (2.66)</w:t>
            </w:r>
          </w:p>
        </w:tc>
      </w:tr>
    </w:tbl>
    <w:p w14:paraId="316D8C83" w14:textId="77777777" w:rsidR="003753A1" w:rsidRPr="0071085D" w:rsidRDefault="003753A1" w:rsidP="00601620">
      <w:pPr>
        <w:pStyle w:val="Notedefin"/>
        <w:widowControl w:val="0"/>
        <w:spacing w:line="480" w:lineRule="auto"/>
        <w:rPr>
          <w:vertAlign w:val="superscript"/>
          <w:lang w:val="en-CA"/>
        </w:rPr>
      </w:pPr>
    </w:p>
    <w:p w14:paraId="4D76778C" w14:textId="1F19071C" w:rsidR="00503C17" w:rsidRPr="0071085D" w:rsidRDefault="000501E8" w:rsidP="00601620">
      <w:pPr>
        <w:pStyle w:val="Notedefin"/>
        <w:widowControl w:val="0"/>
        <w:spacing w:line="480" w:lineRule="auto"/>
        <w:rPr>
          <w:lang w:val="en-CA"/>
        </w:rPr>
      </w:pPr>
      <w:r w:rsidRPr="0071085D">
        <w:rPr>
          <w:i/>
          <w:lang w:val="en-CA"/>
        </w:rPr>
        <w:t xml:space="preserve">Note. </w:t>
      </w:r>
      <w:r w:rsidR="00EB21C4" w:rsidRPr="0071085D">
        <w:rPr>
          <w:vertAlign w:val="superscript"/>
          <w:lang w:val="en-CA"/>
        </w:rPr>
        <w:t>a</w:t>
      </w:r>
      <w:r w:rsidR="007711A1" w:rsidRPr="0071085D">
        <w:rPr>
          <w:vertAlign w:val="superscript"/>
          <w:lang w:val="en-CA"/>
        </w:rPr>
        <w:t xml:space="preserve"> </w:t>
      </w:r>
      <w:r w:rsidR="003753A1" w:rsidRPr="0071085D">
        <w:rPr>
          <w:lang w:val="en-CA"/>
        </w:rPr>
        <w:t>Means and Standard D</w:t>
      </w:r>
      <w:r w:rsidR="007711A1" w:rsidRPr="0071085D">
        <w:rPr>
          <w:lang w:val="en-CA"/>
        </w:rPr>
        <w:t>eviation</w:t>
      </w:r>
      <w:r w:rsidR="003753A1" w:rsidRPr="0071085D">
        <w:rPr>
          <w:lang w:val="en-CA"/>
        </w:rPr>
        <w:t>s</w:t>
      </w:r>
      <w:r w:rsidR="007711A1" w:rsidRPr="0071085D">
        <w:rPr>
          <w:lang w:val="en-CA"/>
        </w:rPr>
        <w:t xml:space="preserve"> were calculated on untransformed data, with </w:t>
      </w:r>
      <w:r w:rsidR="00547E6C" w:rsidRPr="0071085D">
        <w:rPr>
          <w:lang w:val="en-CA"/>
        </w:rPr>
        <w:t xml:space="preserve">excluded </w:t>
      </w:r>
      <w:r w:rsidR="007711A1" w:rsidRPr="0071085D">
        <w:rPr>
          <w:lang w:val="en-CA"/>
        </w:rPr>
        <w:t xml:space="preserve">outliers. </w:t>
      </w:r>
    </w:p>
    <w:p w14:paraId="27FDB9E0" w14:textId="7E68395A" w:rsidR="00C138A2" w:rsidRPr="0071085D" w:rsidRDefault="00C138A2" w:rsidP="00601620">
      <w:pPr>
        <w:widowControl w:val="0"/>
        <w:spacing w:after="0" w:line="480" w:lineRule="auto"/>
        <w:rPr>
          <w:lang w:val="en-CA"/>
        </w:rPr>
        <w:sectPr w:rsidR="00C138A2" w:rsidRPr="0071085D" w:rsidSect="00E56570">
          <w:headerReference w:type="first" r:id="rId11"/>
          <w:pgSz w:w="12240" w:h="15840"/>
          <w:pgMar w:top="1440" w:right="1440" w:bottom="1440" w:left="1440" w:header="709" w:footer="709" w:gutter="0"/>
          <w:cols w:space="708"/>
          <w:titlePg/>
          <w:docGrid w:linePitch="360"/>
        </w:sectPr>
      </w:pPr>
    </w:p>
    <w:tbl>
      <w:tblPr>
        <w:tblStyle w:val="Grilledutableau"/>
        <w:tblW w:w="13809" w:type="dxa"/>
        <w:tblInd w:w="-572" w:type="dxa"/>
        <w:tblLook w:val="04A0" w:firstRow="1" w:lastRow="0" w:firstColumn="1" w:lastColumn="0" w:noHBand="0" w:noVBand="1"/>
      </w:tblPr>
      <w:tblGrid>
        <w:gridCol w:w="1674"/>
        <w:gridCol w:w="1713"/>
        <w:gridCol w:w="1815"/>
        <w:gridCol w:w="1887"/>
        <w:gridCol w:w="222"/>
        <w:gridCol w:w="1691"/>
        <w:gridCol w:w="1836"/>
        <w:gridCol w:w="222"/>
        <w:gridCol w:w="1625"/>
        <w:gridCol w:w="1124"/>
      </w:tblGrid>
      <w:tr w:rsidR="00EE10E2" w:rsidRPr="0071085D" w14:paraId="6618354C" w14:textId="77777777" w:rsidTr="00F22341">
        <w:trPr>
          <w:trHeight w:val="431"/>
        </w:trPr>
        <w:tc>
          <w:tcPr>
            <w:tcW w:w="13809" w:type="dxa"/>
            <w:gridSpan w:val="10"/>
            <w:tcBorders>
              <w:top w:val="nil"/>
              <w:left w:val="nil"/>
              <w:bottom w:val="nil"/>
              <w:right w:val="nil"/>
            </w:tcBorders>
          </w:tcPr>
          <w:p w14:paraId="772874DD" w14:textId="3D872875" w:rsidR="00EE10E2" w:rsidRPr="0071085D" w:rsidRDefault="009257E6" w:rsidP="00601620">
            <w:pPr>
              <w:widowControl w:val="0"/>
              <w:spacing w:line="480" w:lineRule="auto"/>
              <w:contextualSpacing/>
              <w:rPr>
                <w:i/>
                <w:sz w:val="20"/>
                <w:szCs w:val="20"/>
                <w:lang w:val="en-CA"/>
              </w:rPr>
            </w:pPr>
            <w:r w:rsidRPr="0071085D">
              <w:rPr>
                <w:sz w:val="20"/>
                <w:szCs w:val="20"/>
                <w:lang w:val="en-CA"/>
              </w:rPr>
              <w:lastRenderedPageBreak/>
              <w:br w:type="page"/>
            </w:r>
            <w:r w:rsidR="00EE10E2" w:rsidRPr="0071085D">
              <w:rPr>
                <w:i/>
                <w:sz w:val="20"/>
                <w:szCs w:val="20"/>
                <w:lang w:val="en-CA"/>
              </w:rPr>
              <w:t>Table 4</w:t>
            </w:r>
          </w:p>
        </w:tc>
      </w:tr>
      <w:tr w:rsidR="00EE10E2" w:rsidRPr="0071085D" w14:paraId="29F39A91" w14:textId="77777777" w:rsidTr="00F22341">
        <w:trPr>
          <w:trHeight w:val="450"/>
        </w:trPr>
        <w:tc>
          <w:tcPr>
            <w:tcW w:w="13809" w:type="dxa"/>
            <w:gridSpan w:val="10"/>
            <w:tcBorders>
              <w:top w:val="nil"/>
              <w:left w:val="nil"/>
              <w:bottom w:val="single" w:sz="4" w:space="0" w:color="auto"/>
              <w:right w:val="nil"/>
            </w:tcBorders>
          </w:tcPr>
          <w:p w14:paraId="501AA9DE" w14:textId="1A29FA9F" w:rsidR="00EE10E2" w:rsidRPr="0071085D" w:rsidRDefault="00EE10E2" w:rsidP="00601620">
            <w:pPr>
              <w:widowControl w:val="0"/>
              <w:spacing w:line="480" w:lineRule="auto"/>
              <w:contextualSpacing/>
              <w:rPr>
                <w:i/>
                <w:sz w:val="20"/>
                <w:szCs w:val="20"/>
                <w:lang w:val="en-CA"/>
              </w:rPr>
            </w:pPr>
            <w:r w:rsidRPr="0071085D">
              <w:rPr>
                <w:i/>
                <w:sz w:val="20"/>
                <w:szCs w:val="20"/>
                <w:lang w:val="en-CA"/>
              </w:rPr>
              <w:t>Multinomial Logistic Regression with Significant Variables Predicting Risk-Taking Latent Classes</w:t>
            </w:r>
          </w:p>
        </w:tc>
      </w:tr>
      <w:tr w:rsidR="00B33FDA" w:rsidRPr="0071085D" w14:paraId="3C127A5F" w14:textId="77777777" w:rsidTr="00F22341">
        <w:trPr>
          <w:trHeight w:val="450"/>
        </w:trPr>
        <w:tc>
          <w:tcPr>
            <w:tcW w:w="1674" w:type="dxa"/>
            <w:vMerge w:val="restart"/>
            <w:tcBorders>
              <w:top w:val="single" w:sz="4" w:space="0" w:color="auto"/>
              <w:left w:val="nil"/>
              <w:bottom w:val="nil"/>
              <w:right w:val="nil"/>
            </w:tcBorders>
          </w:tcPr>
          <w:p w14:paraId="017D7C41" w14:textId="056FD37E" w:rsidR="00B33FDA" w:rsidRPr="0071085D" w:rsidRDefault="00B33FDA" w:rsidP="00601620">
            <w:pPr>
              <w:widowControl w:val="0"/>
              <w:spacing w:line="480" w:lineRule="auto"/>
              <w:rPr>
                <w:sz w:val="20"/>
                <w:szCs w:val="20"/>
                <w:lang w:val="en-CA"/>
              </w:rPr>
            </w:pPr>
            <w:r w:rsidRPr="0071085D">
              <w:rPr>
                <w:sz w:val="20"/>
                <w:szCs w:val="20"/>
                <w:lang w:val="en-CA"/>
              </w:rPr>
              <w:t>Variable</w:t>
            </w:r>
          </w:p>
        </w:tc>
        <w:tc>
          <w:tcPr>
            <w:tcW w:w="5418" w:type="dxa"/>
            <w:gridSpan w:val="3"/>
            <w:tcBorders>
              <w:top w:val="single" w:sz="4" w:space="0" w:color="auto"/>
              <w:left w:val="nil"/>
              <w:bottom w:val="single" w:sz="4" w:space="0" w:color="auto"/>
              <w:right w:val="nil"/>
            </w:tcBorders>
          </w:tcPr>
          <w:p w14:paraId="39AD1BDD" w14:textId="2CD11867" w:rsidR="00B33FDA" w:rsidRPr="0071085D" w:rsidRDefault="00B33FDA" w:rsidP="00601620">
            <w:pPr>
              <w:widowControl w:val="0"/>
              <w:spacing w:line="480" w:lineRule="auto"/>
              <w:rPr>
                <w:sz w:val="20"/>
                <w:szCs w:val="20"/>
                <w:lang w:val="en-CA"/>
              </w:rPr>
            </w:pPr>
            <w:r w:rsidRPr="0071085D">
              <w:rPr>
                <w:sz w:val="20"/>
                <w:szCs w:val="20"/>
                <w:lang w:val="en-CA"/>
              </w:rPr>
              <w:t xml:space="preserve">Inactive </w:t>
            </w:r>
            <w:proofErr w:type="gramStart"/>
            <w:r w:rsidRPr="0071085D">
              <w:rPr>
                <w:sz w:val="20"/>
                <w:szCs w:val="20"/>
                <w:lang w:val="en-CA"/>
              </w:rPr>
              <w:t>low-risk</w:t>
            </w:r>
            <w:proofErr w:type="gramEnd"/>
            <w:r w:rsidRPr="0071085D">
              <w:rPr>
                <w:sz w:val="20"/>
                <w:szCs w:val="20"/>
                <w:lang w:val="en-CA"/>
              </w:rPr>
              <w:t xml:space="preserve"> (a) vs.</w:t>
            </w:r>
          </w:p>
        </w:tc>
        <w:tc>
          <w:tcPr>
            <w:tcW w:w="219" w:type="dxa"/>
            <w:tcBorders>
              <w:top w:val="single" w:sz="4" w:space="0" w:color="auto"/>
              <w:left w:val="nil"/>
              <w:bottom w:val="nil"/>
              <w:right w:val="nil"/>
            </w:tcBorders>
          </w:tcPr>
          <w:p w14:paraId="4112C720" w14:textId="77777777" w:rsidR="00B33FDA" w:rsidRPr="0071085D" w:rsidRDefault="00B33FDA" w:rsidP="00601620">
            <w:pPr>
              <w:widowControl w:val="0"/>
              <w:spacing w:line="480" w:lineRule="auto"/>
              <w:rPr>
                <w:sz w:val="20"/>
                <w:szCs w:val="20"/>
                <w:lang w:val="en-CA"/>
              </w:rPr>
            </w:pPr>
          </w:p>
        </w:tc>
        <w:tc>
          <w:tcPr>
            <w:tcW w:w="3529" w:type="dxa"/>
            <w:gridSpan w:val="2"/>
            <w:tcBorders>
              <w:top w:val="single" w:sz="4" w:space="0" w:color="auto"/>
              <w:left w:val="nil"/>
              <w:bottom w:val="single" w:sz="4" w:space="0" w:color="auto"/>
              <w:right w:val="nil"/>
            </w:tcBorders>
          </w:tcPr>
          <w:p w14:paraId="7B7584FF" w14:textId="6A4343D1" w:rsidR="00B33FDA" w:rsidRPr="0071085D" w:rsidRDefault="00B33FDA" w:rsidP="00601620">
            <w:pPr>
              <w:widowControl w:val="0"/>
              <w:spacing w:line="480" w:lineRule="auto"/>
              <w:rPr>
                <w:sz w:val="20"/>
                <w:szCs w:val="20"/>
                <w:lang w:val="en-CA"/>
              </w:rPr>
            </w:pPr>
            <w:r w:rsidRPr="0071085D">
              <w:rPr>
                <w:sz w:val="20"/>
                <w:szCs w:val="20"/>
                <w:lang w:val="en-CA"/>
              </w:rPr>
              <w:t>Active low-risk (b)</w:t>
            </w:r>
          </w:p>
        </w:tc>
        <w:tc>
          <w:tcPr>
            <w:tcW w:w="219" w:type="dxa"/>
            <w:tcBorders>
              <w:top w:val="single" w:sz="4" w:space="0" w:color="auto"/>
              <w:left w:val="nil"/>
              <w:bottom w:val="nil"/>
              <w:right w:val="nil"/>
            </w:tcBorders>
          </w:tcPr>
          <w:p w14:paraId="667C1F39" w14:textId="77777777" w:rsidR="00B33FDA" w:rsidRPr="0071085D" w:rsidRDefault="00B33FDA" w:rsidP="00601620">
            <w:pPr>
              <w:widowControl w:val="0"/>
              <w:spacing w:line="480" w:lineRule="auto"/>
              <w:rPr>
                <w:sz w:val="20"/>
                <w:szCs w:val="20"/>
                <w:lang w:val="en-CA"/>
              </w:rPr>
            </w:pPr>
          </w:p>
        </w:tc>
        <w:tc>
          <w:tcPr>
            <w:tcW w:w="1626" w:type="dxa"/>
            <w:tcBorders>
              <w:top w:val="single" w:sz="4" w:space="0" w:color="auto"/>
              <w:left w:val="nil"/>
              <w:bottom w:val="single" w:sz="4" w:space="0" w:color="auto"/>
              <w:right w:val="nil"/>
            </w:tcBorders>
          </w:tcPr>
          <w:p w14:paraId="42C6BFD3" w14:textId="0FF5D87F" w:rsidR="00B33FDA" w:rsidRPr="0071085D" w:rsidRDefault="00B33FDA" w:rsidP="00601620">
            <w:pPr>
              <w:widowControl w:val="0"/>
              <w:spacing w:line="480" w:lineRule="auto"/>
              <w:rPr>
                <w:sz w:val="20"/>
                <w:szCs w:val="20"/>
                <w:lang w:val="en-CA"/>
              </w:rPr>
            </w:pPr>
            <w:r w:rsidRPr="0071085D">
              <w:rPr>
                <w:sz w:val="20"/>
                <w:szCs w:val="20"/>
                <w:lang w:val="en-CA"/>
              </w:rPr>
              <w:t>Mid-risk (c) vs.</w:t>
            </w:r>
          </w:p>
        </w:tc>
        <w:tc>
          <w:tcPr>
            <w:tcW w:w="1121" w:type="dxa"/>
            <w:vMerge w:val="restart"/>
            <w:tcBorders>
              <w:top w:val="single" w:sz="4" w:space="0" w:color="auto"/>
              <w:left w:val="nil"/>
              <w:bottom w:val="nil"/>
              <w:right w:val="nil"/>
            </w:tcBorders>
          </w:tcPr>
          <w:p w14:paraId="5DB9CDA1" w14:textId="0AE58A2B" w:rsidR="00B33FDA" w:rsidRPr="0071085D" w:rsidRDefault="00B33FDA" w:rsidP="00601620">
            <w:pPr>
              <w:widowControl w:val="0"/>
              <w:spacing w:line="480" w:lineRule="auto"/>
              <w:rPr>
                <w:sz w:val="20"/>
                <w:szCs w:val="20"/>
                <w:lang w:val="en-CA"/>
              </w:rPr>
            </w:pPr>
            <w:r w:rsidRPr="0071085D">
              <w:rPr>
                <w:sz w:val="20"/>
                <w:szCs w:val="20"/>
                <w:lang w:val="en-CA"/>
              </w:rPr>
              <w:t>Group differences</w:t>
            </w:r>
          </w:p>
        </w:tc>
      </w:tr>
      <w:tr w:rsidR="00B33FDA" w:rsidRPr="0071085D" w14:paraId="2742D651" w14:textId="77777777" w:rsidTr="00F22341">
        <w:trPr>
          <w:trHeight w:val="881"/>
        </w:trPr>
        <w:tc>
          <w:tcPr>
            <w:tcW w:w="1674" w:type="dxa"/>
            <w:vMerge/>
            <w:tcBorders>
              <w:top w:val="nil"/>
              <w:left w:val="nil"/>
              <w:bottom w:val="single" w:sz="4" w:space="0" w:color="auto"/>
              <w:right w:val="nil"/>
            </w:tcBorders>
          </w:tcPr>
          <w:p w14:paraId="2BED6308" w14:textId="77777777" w:rsidR="00B33FDA" w:rsidRPr="0071085D" w:rsidRDefault="00B33FDA" w:rsidP="00601620">
            <w:pPr>
              <w:widowControl w:val="0"/>
              <w:spacing w:line="480" w:lineRule="auto"/>
              <w:rPr>
                <w:sz w:val="20"/>
                <w:szCs w:val="20"/>
                <w:lang w:val="en-CA"/>
              </w:rPr>
            </w:pPr>
          </w:p>
        </w:tc>
        <w:tc>
          <w:tcPr>
            <w:tcW w:w="1714" w:type="dxa"/>
            <w:tcBorders>
              <w:top w:val="nil"/>
              <w:left w:val="nil"/>
              <w:bottom w:val="single" w:sz="4" w:space="0" w:color="auto"/>
              <w:right w:val="nil"/>
            </w:tcBorders>
          </w:tcPr>
          <w:p w14:paraId="4CFCFF8C" w14:textId="13CA2118" w:rsidR="00B33FDA" w:rsidRPr="0071085D" w:rsidRDefault="00B33FDA" w:rsidP="00601620">
            <w:pPr>
              <w:widowControl w:val="0"/>
              <w:spacing w:line="480" w:lineRule="auto"/>
              <w:rPr>
                <w:sz w:val="20"/>
                <w:szCs w:val="20"/>
                <w:lang w:val="en-CA"/>
              </w:rPr>
            </w:pPr>
            <w:r w:rsidRPr="0071085D">
              <w:rPr>
                <w:sz w:val="20"/>
                <w:szCs w:val="20"/>
                <w:lang w:val="en-CA"/>
              </w:rPr>
              <w:t>Active low-risk (b)</w:t>
            </w:r>
            <w:r w:rsidRPr="0071085D">
              <w:rPr>
                <w:sz w:val="20"/>
                <w:szCs w:val="20"/>
                <w:lang w:val="en-CA"/>
              </w:rPr>
              <w:br/>
              <w:t>OR [CI]</w:t>
            </w:r>
          </w:p>
        </w:tc>
        <w:tc>
          <w:tcPr>
            <w:tcW w:w="1816" w:type="dxa"/>
            <w:tcBorders>
              <w:top w:val="nil"/>
              <w:left w:val="nil"/>
              <w:bottom w:val="single" w:sz="4" w:space="0" w:color="auto"/>
              <w:right w:val="nil"/>
            </w:tcBorders>
          </w:tcPr>
          <w:p w14:paraId="48F15406" w14:textId="77777777" w:rsidR="00B33FDA" w:rsidRPr="0071085D" w:rsidRDefault="00B33FDA" w:rsidP="00601620">
            <w:pPr>
              <w:widowControl w:val="0"/>
              <w:spacing w:line="480" w:lineRule="auto"/>
              <w:contextualSpacing/>
              <w:rPr>
                <w:sz w:val="20"/>
                <w:szCs w:val="20"/>
                <w:lang w:val="en-CA"/>
              </w:rPr>
            </w:pPr>
            <w:r w:rsidRPr="0071085D">
              <w:rPr>
                <w:sz w:val="20"/>
                <w:szCs w:val="20"/>
                <w:lang w:val="en-CA"/>
              </w:rPr>
              <w:t>Mid-risk (c)</w:t>
            </w:r>
          </w:p>
          <w:p w14:paraId="20E48F4E" w14:textId="6D3154BA" w:rsidR="00B33FDA" w:rsidRPr="0071085D" w:rsidRDefault="00B33FDA" w:rsidP="00601620">
            <w:pPr>
              <w:widowControl w:val="0"/>
              <w:spacing w:line="480" w:lineRule="auto"/>
              <w:rPr>
                <w:sz w:val="20"/>
                <w:szCs w:val="20"/>
                <w:lang w:val="en-CA"/>
              </w:rPr>
            </w:pPr>
            <w:r w:rsidRPr="0071085D">
              <w:rPr>
                <w:sz w:val="20"/>
                <w:szCs w:val="20"/>
                <w:lang w:val="en-CA"/>
              </w:rPr>
              <w:t>OR [CI]</w:t>
            </w:r>
          </w:p>
        </w:tc>
        <w:tc>
          <w:tcPr>
            <w:tcW w:w="1887" w:type="dxa"/>
            <w:tcBorders>
              <w:top w:val="nil"/>
              <w:left w:val="nil"/>
              <w:bottom w:val="single" w:sz="4" w:space="0" w:color="auto"/>
              <w:right w:val="nil"/>
            </w:tcBorders>
          </w:tcPr>
          <w:p w14:paraId="23783CD3" w14:textId="77777777" w:rsidR="00B33FDA" w:rsidRPr="0071085D" w:rsidRDefault="00B33FDA" w:rsidP="00601620">
            <w:pPr>
              <w:widowControl w:val="0"/>
              <w:spacing w:line="480" w:lineRule="auto"/>
              <w:contextualSpacing/>
              <w:rPr>
                <w:sz w:val="20"/>
                <w:szCs w:val="20"/>
                <w:lang w:val="en-CA"/>
              </w:rPr>
            </w:pPr>
            <w:r w:rsidRPr="0071085D">
              <w:rPr>
                <w:sz w:val="20"/>
                <w:szCs w:val="20"/>
                <w:lang w:val="en-CA"/>
              </w:rPr>
              <w:t>High-risk (d)</w:t>
            </w:r>
          </w:p>
          <w:p w14:paraId="7B5A56F5" w14:textId="56C23189" w:rsidR="00B33FDA" w:rsidRPr="0071085D" w:rsidRDefault="00B33FDA" w:rsidP="00601620">
            <w:pPr>
              <w:widowControl w:val="0"/>
              <w:spacing w:line="480" w:lineRule="auto"/>
              <w:rPr>
                <w:sz w:val="20"/>
                <w:szCs w:val="20"/>
                <w:lang w:val="en-CA"/>
              </w:rPr>
            </w:pPr>
            <w:r w:rsidRPr="0071085D">
              <w:rPr>
                <w:sz w:val="20"/>
                <w:szCs w:val="20"/>
                <w:lang w:val="en-CA"/>
              </w:rPr>
              <w:t>OR [CI]</w:t>
            </w:r>
          </w:p>
        </w:tc>
        <w:tc>
          <w:tcPr>
            <w:tcW w:w="219" w:type="dxa"/>
            <w:tcBorders>
              <w:top w:val="nil"/>
              <w:left w:val="nil"/>
              <w:bottom w:val="single" w:sz="4" w:space="0" w:color="auto"/>
              <w:right w:val="nil"/>
            </w:tcBorders>
          </w:tcPr>
          <w:p w14:paraId="53C6FAFA" w14:textId="77777777" w:rsidR="00B33FDA" w:rsidRPr="0071085D" w:rsidRDefault="00B33FDA" w:rsidP="00601620">
            <w:pPr>
              <w:widowControl w:val="0"/>
              <w:spacing w:line="480" w:lineRule="auto"/>
              <w:rPr>
                <w:sz w:val="20"/>
                <w:szCs w:val="20"/>
                <w:lang w:val="en-CA"/>
              </w:rPr>
            </w:pPr>
          </w:p>
        </w:tc>
        <w:tc>
          <w:tcPr>
            <w:tcW w:w="1692" w:type="dxa"/>
            <w:tcBorders>
              <w:top w:val="nil"/>
              <w:left w:val="nil"/>
              <w:bottom w:val="single" w:sz="4" w:space="0" w:color="auto"/>
              <w:right w:val="nil"/>
            </w:tcBorders>
          </w:tcPr>
          <w:p w14:paraId="3A589EF6" w14:textId="77777777" w:rsidR="00B33FDA" w:rsidRPr="0071085D" w:rsidRDefault="00B33FDA" w:rsidP="00601620">
            <w:pPr>
              <w:widowControl w:val="0"/>
              <w:spacing w:line="480" w:lineRule="auto"/>
              <w:contextualSpacing/>
              <w:rPr>
                <w:sz w:val="20"/>
                <w:szCs w:val="20"/>
                <w:lang w:val="en-CA"/>
              </w:rPr>
            </w:pPr>
            <w:r w:rsidRPr="0071085D">
              <w:rPr>
                <w:sz w:val="20"/>
                <w:szCs w:val="20"/>
                <w:lang w:val="en-CA"/>
              </w:rPr>
              <w:t>Mid-risk (c)</w:t>
            </w:r>
          </w:p>
          <w:p w14:paraId="139719F8" w14:textId="74D70620" w:rsidR="00B33FDA" w:rsidRPr="0071085D" w:rsidRDefault="00B33FDA" w:rsidP="00601620">
            <w:pPr>
              <w:widowControl w:val="0"/>
              <w:spacing w:line="480" w:lineRule="auto"/>
              <w:rPr>
                <w:sz w:val="20"/>
                <w:szCs w:val="20"/>
                <w:lang w:val="en-CA"/>
              </w:rPr>
            </w:pPr>
            <w:r w:rsidRPr="0071085D">
              <w:rPr>
                <w:sz w:val="20"/>
                <w:szCs w:val="20"/>
                <w:lang w:val="en-CA"/>
              </w:rPr>
              <w:t>OR [CI]</w:t>
            </w:r>
          </w:p>
        </w:tc>
        <w:tc>
          <w:tcPr>
            <w:tcW w:w="1837" w:type="dxa"/>
            <w:tcBorders>
              <w:top w:val="nil"/>
              <w:left w:val="nil"/>
              <w:bottom w:val="single" w:sz="4" w:space="0" w:color="auto"/>
              <w:right w:val="nil"/>
            </w:tcBorders>
          </w:tcPr>
          <w:p w14:paraId="2CE00FF8" w14:textId="77777777" w:rsidR="00B33FDA" w:rsidRPr="0071085D" w:rsidRDefault="00B33FDA" w:rsidP="00601620">
            <w:pPr>
              <w:widowControl w:val="0"/>
              <w:spacing w:line="480" w:lineRule="auto"/>
              <w:contextualSpacing/>
              <w:rPr>
                <w:sz w:val="20"/>
                <w:szCs w:val="20"/>
                <w:lang w:val="en-CA"/>
              </w:rPr>
            </w:pPr>
            <w:r w:rsidRPr="0071085D">
              <w:rPr>
                <w:sz w:val="20"/>
                <w:szCs w:val="20"/>
                <w:lang w:val="en-CA"/>
              </w:rPr>
              <w:t xml:space="preserve">High-risk (d) </w:t>
            </w:r>
          </w:p>
          <w:p w14:paraId="26CC0E12" w14:textId="2AD1762F" w:rsidR="00B33FDA" w:rsidRPr="0071085D" w:rsidRDefault="00B33FDA" w:rsidP="00601620">
            <w:pPr>
              <w:widowControl w:val="0"/>
              <w:spacing w:line="480" w:lineRule="auto"/>
              <w:rPr>
                <w:sz w:val="20"/>
                <w:szCs w:val="20"/>
                <w:lang w:val="en-CA"/>
              </w:rPr>
            </w:pPr>
            <w:r w:rsidRPr="0071085D">
              <w:rPr>
                <w:sz w:val="20"/>
                <w:szCs w:val="20"/>
                <w:lang w:val="en-CA"/>
              </w:rPr>
              <w:t>OR [CI]</w:t>
            </w:r>
          </w:p>
        </w:tc>
        <w:tc>
          <w:tcPr>
            <w:tcW w:w="219" w:type="dxa"/>
            <w:tcBorders>
              <w:top w:val="nil"/>
              <w:left w:val="nil"/>
              <w:bottom w:val="single" w:sz="4" w:space="0" w:color="auto"/>
              <w:right w:val="nil"/>
            </w:tcBorders>
          </w:tcPr>
          <w:p w14:paraId="7D448D3F" w14:textId="77777777" w:rsidR="00B33FDA" w:rsidRPr="0071085D" w:rsidRDefault="00B33FDA" w:rsidP="00601620">
            <w:pPr>
              <w:widowControl w:val="0"/>
              <w:spacing w:line="480" w:lineRule="auto"/>
              <w:rPr>
                <w:sz w:val="20"/>
                <w:szCs w:val="20"/>
                <w:lang w:val="en-CA"/>
              </w:rPr>
            </w:pPr>
          </w:p>
        </w:tc>
        <w:tc>
          <w:tcPr>
            <w:tcW w:w="1626" w:type="dxa"/>
            <w:tcBorders>
              <w:top w:val="nil"/>
              <w:left w:val="nil"/>
              <w:bottom w:val="single" w:sz="4" w:space="0" w:color="auto"/>
              <w:right w:val="nil"/>
            </w:tcBorders>
          </w:tcPr>
          <w:p w14:paraId="2FF6E44A" w14:textId="77777777" w:rsidR="00B33FDA" w:rsidRPr="0071085D" w:rsidRDefault="00B33FDA" w:rsidP="00601620">
            <w:pPr>
              <w:widowControl w:val="0"/>
              <w:spacing w:line="480" w:lineRule="auto"/>
              <w:contextualSpacing/>
              <w:rPr>
                <w:sz w:val="20"/>
                <w:szCs w:val="20"/>
                <w:lang w:val="en-CA"/>
              </w:rPr>
            </w:pPr>
            <w:r w:rsidRPr="0071085D">
              <w:rPr>
                <w:sz w:val="20"/>
                <w:szCs w:val="20"/>
                <w:lang w:val="en-CA"/>
              </w:rPr>
              <w:t>High-risk (d)</w:t>
            </w:r>
          </w:p>
          <w:p w14:paraId="49EB9961" w14:textId="2DA0B883" w:rsidR="00B33FDA" w:rsidRPr="0071085D" w:rsidRDefault="00B33FDA" w:rsidP="00601620">
            <w:pPr>
              <w:widowControl w:val="0"/>
              <w:spacing w:line="480" w:lineRule="auto"/>
              <w:rPr>
                <w:sz w:val="20"/>
                <w:szCs w:val="20"/>
                <w:lang w:val="en-CA"/>
              </w:rPr>
            </w:pPr>
            <w:r w:rsidRPr="0071085D">
              <w:rPr>
                <w:sz w:val="20"/>
                <w:szCs w:val="20"/>
                <w:lang w:val="en-CA"/>
              </w:rPr>
              <w:t>OR [CI]</w:t>
            </w:r>
          </w:p>
        </w:tc>
        <w:tc>
          <w:tcPr>
            <w:tcW w:w="1121" w:type="dxa"/>
            <w:vMerge/>
            <w:tcBorders>
              <w:top w:val="nil"/>
              <w:left w:val="nil"/>
              <w:bottom w:val="single" w:sz="4" w:space="0" w:color="auto"/>
              <w:right w:val="nil"/>
            </w:tcBorders>
          </w:tcPr>
          <w:p w14:paraId="6E6802DD" w14:textId="77777777" w:rsidR="00B33FDA" w:rsidRPr="0071085D" w:rsidRDefault="00B33FDA" w:rsidP="00601620">
            <w:pPr>
              <w:widowControl w:val="0"/>
              <w:spacing w:line="480" w:lineRule="auto"/>
              <w:rPr>
                <w:sz w:val="20"/>
                <w:szCs w:val="20"/>
                <w:lang w:val="en-CA"/>
              </w:rPr>
            </w:pPr>
          </w:p>
        </w:tc>
      </w:tr>
      <w:tr w:rsidR="00E548A8" w:rsidRPr="0071085D" w14:paraId="52D38799" w14:textId="77777777" w:rsidTr="00F22341">
        <w:trPr>
          <w:trHeight w:val="450"/>
        </w:trPr>
        <w:tc>
          <w:tcPr>
            <w:tcW w:w="1674" w:type="dxa"/>
            <w:tcBorders>
              <w:top w:val="single" w:sz="4" w:space="0" w:color="auto"/>
              <w:left w:val="nil"/>
              <w:bottom w:val="nil"/>
              <w:right w:val="nil"/>
            </w:tcBorders>
          </w:tcPr>
          <w:p w14:paraId="4A24A8FB" w14:textId="460C7180" w:rsidR="00E548A8" w:rsidRPr="0071085D" w:rsidRDefault="00E548A8" w:rsidP="00601620">
            <w:pPr>
              <w:widowControl w:val="0"/>
              <w:spacing w:line="480" w:lineRule="auto"/>
              <w:rPr>
                <w:sz w:val="20"/>
                <w:szCs w:val="20"/>
                <w:lang w:val="en-CA"/>
              </w:rPr>
            </w:pPr>
            <w:r w:rsidRPr="0071085D">
              <w:rPr>
                <w:sz w:val="20"/>
                <w:szCs w:val="20"/>
                <w:lang w:val="en-CA"/>
              </w:rPr>
              <w:t>Age</w:t>
            </w:r>
          </w:p>
        </w:tc>
        <w:tc>
          <w:tcPr>
            <w:tcW w:w="1714" w:type="dxa"/>
            <w:tcBorders>
              <w:top w:val="single" w:sz="4" w:space="0" w:color="auto"/>
              <w:left w:val="nil"/>
              <w:bottom w:val="nil"/>
              <w:right w:val="nil"/>
            </w:tcBorders>
          </w:tcPr>
          <w:p w14:paraId="7B7390ED" w14:textId="666B108B" w:rsidR="00E548A8" w:rsidRPr="0071085D" w:rsidRDefault="00E548A8" w:rsidP="00601620">
            <w:pPr>
              <w:widowControl w:val="0"/>
              <w:spacing w:line="480" w:lineRule="auto"/>
              <w:rPr>
                <w:sz w:val="20"/>
                <w:szCs w:val="20"/>
                <w:lang w:val="en-CA"/>
              </w:rPr>
            </w:pPr>
            <w:r w:rsidRPr="0071085D">
              <w:rPr>
                <w:sz w:val="20"/>
                <w:szCs w:val="20"/>
                <w:lang w:val="en-CA"/>
              </w:rPr>
              <w:t>.98 [.83-1.16]</w:t>
            </w:r>
          </w:p>
        </w:tc>
        <w:tc>
          <w:tcPr>
            <w:tcW w:w="1816" w:type="dxa"/>
            <w:tcBorders>
              <w:top w:val="single" w:sz="4" w:space="0" w:color="auto"/>
              <w:left w:val="nil"/>
              <w:bottom w:val="nil"/>
              <w:right w:val="nil"/>
            </w:tcBorders>
          </w:tcPr>
          <w:p w14:paraId="1B8BDBF2" w14:textId="6D77CB54" w:rsidR="00E548A8" w:rsidRPr="0071085D" w:rsidRDefault="00E548A8" w:rsidP="00601620">
            <w:pPr>
              <w:widowControl w:val="0"/>
              <w:spacing w:line="480" w:lineRule="auto"/>
              <w:contextualSpacing/>
              <w:rPr>
                <w:sz w:val="20"/>
                <w:szCs w:val="20"/>
                <w:lang w:val="en-CA"/>
              </w:rPr>
            </w:pPr>
            <w:r w:rsidRPr="0071085D">
              <w:rPr>
                <w:sz w:val="20"/>
                <w:szCs w:val="20"/>
                <w:lang w:val="en-CA"/>
              </w:rPr>
              <w:t>1.45</w:t>
            </w:r>
            <w:r w:rsidR="00EA1C80" w:rsidRPr="0071085D">
              <w:rPr>
                <w:sz w:val="20"/>
                <w:szCs w:val="20"/>
                <w:lang w:val="en-CA"/>
              </w:rPr>
              <w:t xml:space="preserve">*** </w:t>
            </w:r>
            <w:r w:rsidRPr="0071085D">
              <w:rPr>
                <w:sz w:val="20"/>
                <w:szCs w:val="20"/>
                <w:lang w:val="en-CA"/>
              </w:rPr>
              <w:t>[1.21-1.73]</w:t>
            </w:r>
          </w:p>
        </w:tc>
        <w:tc>
          <w:tcPr>
            <w:tcW w:w="1887" w:type="dxa"/>
            <w:tcBorders>
              <w:top w:val="single" w:sz="4" w:space="0" w:color="auto"/>
              <w:left w:val="nil"/>
              <w:bottom w:val="nil"/>
              <w:right w:val="nil"/>
            </w:tcBorders>
          </w:tcPr>
          <w:p w14:paraId="5F819287" w14:textId="7026B343" w:rsidR="00E548A8" w:rsidRPr="0071085D" w:rsidRDefault="00E548A8" w:rsidP="00601620">
            <w:pPr>
              <w:widowControl w:val="0"/>
              <w:spacing w:line="480" w:lineRule="auto"/>
              <w:contextualSpacing/>
              <w:rPr>
                <w:sz w:val="20"/>
                <w:szCs w:val="20"/>
                <w:lang w:val="en-CA"/>
              </w:rPr>
            </w:pPr>
            <w:r w:rsidRPr="0071085D">
              <w:rPr>
                <w:sz w:val="20"/>
                <w:szCs w:val="20"/>
                <w:lang w:val="en-CA"/>
              </w:rPr>
              <w:t>1.96</w:t>
            </w:r>
            <w:r w:rsidR="00EA1C80" w:rsidRPr="0071085D">
              <w:rPr>
                <w:sz w:val="20"/>
                <w:szCs w:val="20"/>
                <w:lang w:val="en-CA"/>
              </w:rPr>
              <w:t xml:space="preserve">*** </w:t>
            </w:r>
            <w:r w:rsidRPr="0071085D">
              <w:rPr>
                <w:sz w:val="20"/>
                <w:szCs w:val="20"/>
                <w:lang w:val="en-CA"/>
              </w:rPr>
              <w:t>[1.53-2.51]</w:t>
            </w:r>
          </w:p>
        </w:tc>
        <w:tc>
          <w:tcPr>
            <w:tcW w:w="219" w:type="dxa"/>
            <w:tcBorders>
              <w:top w:val="single" w:sz="4" w:space="0" w:color="auto"/>
              <w:left w:val="nil"/>
              <w:bottom w:val="nil"/>
              <w:right w:val="nil"/>
            </w:tcBorders>
          </w:tcPr>
          <w:p w14:paraId="08DF270E" w14:textId="77777777" w:rsidR="00E548A8" w:rsidRPr="0071085D" w:rsidRDefault="00E548A8" w:rsidP="00601620">
            <w:pPr>
              <w:widowControl w:val="0"/>
              <w:spacing w:line="480" w:lineRule="auto"/>
              <w:rPr>
                <w:sz w:val="20"/>
                <w:szCs w:val="20"/>
                <w:lang w:val="en-CA"/>
              </w:rPr>
            </w:pPr>
          </w:p>
        </w:tc>
        <w:tc>
          <w:tcPr>
            <w:tcW w:w="1692" w:type="dxa"/>
            <w:tcBorders>
              <w:top w:val="single" w:sz="4" w:space="0" w:color="auto"/>
              <w:left w:val="nil"/>
              <w:bottom w:val="nil"/>
              <w:right w:val="nil"/>
            </w:tcBorders>
          </w:tcPr>
          <w:p w14:paraId="73E9E7AD" w14:textId="5018DDCB" w:rsidR="00E548A8" w:rsidRPr="0071085D" w:rsidRDefault="00EA1C80" w:rsidP="00601620">
            <w:pPr>
              <w:widowControl w:val="0"/>
              <w:spacing w:line="480" w:lineRule="auto"/>
              <w:contextualSpacing/>
              <w:rPr>
                <w:sz w:val="20"/>
                <w:szCs w:val="20"/>
                <w:lang w:val="en-CA"/>
              </w:rPr>
            </w:pPr>
            <w:r w:rsidRPr="0071085D">
              <w:rPr>
                <w:sz w:val="20"/>
                <w:szCs w:val="20"/>
                <w:lang w:val="en-CA"/>
              </w:rPr>
              <w:t xml:space="preserve">1.47*** </w:t>
            </w:r>
            <w:r w:rsidR="00E548A8" w:rsidRPr="0071085D">
              <w:rPr>
                <w:sz w:val="20"/>
                <w:szCs w:val="20"/>
                <w:lang w:val="en-CA"/>
              </w:rPr>
              <w:t>[1.27-1.71]</w:t>
            </w:r>
          </w:p>
        </w:tc>
        <w:tc>
          <w:tcPr>
            <w:tcW w:w="1837" w:type="dxa"/>
            <w:tcBorders>
              <w:top w:val="single" w:sz="4" w:space="0" w:color="auto"/>
              <w:left w:val="nil"/>
              <w:bottom w:val="nil"/>
              <w:right w:val="nil"/>
            </w:tcBorders>
          </w:tcPr>
          <w:p w14:paraId="6F69BC66" w14:textId="678313B8" w:rsidR="00E548A8" w:rsidRPr="0071085D" w:rsidRDefault="00E548A8" w:rsidP="00601620">
            <w:pPr>
              <w:widowControl w:val="0"/>
              <w:spacing w:line="480" w:lineRule="auto"/>
              <w:contextualSpacing/>
              <w:rPr>
                <w:sz w:val="20"/>
                <w:szCs w:val="20"/>
                <w:lang w:val="en-CA"/>
              </w:rPr>
            </w:pPr>
            <w:r w:rsidRPr="0071085D">
              <w:rPr>
                <w:sz w:val="20"/>
                <w:szCs w:val="20"/>
                <w:lang w:val="en-CA"/>
              </w:rPr>
              <w:t>1.99</w:t>
            </w:r>
            <w:r w:rsidR="00EA1C80" w:rsidRPr="0071085D">
              <w:rPr>
                <w:sz w:val="20"/>
                <w:szCs w:val="20"/>
                <w:lang w:val="en-CA"/>
              </w:rPr>
              <w:t xml:space="preserve">*** </w:t>
            </w:r>
            <w:r w:rsidRPr="0071085D">
              <w:rPr>
                <w:sz w:val="20"/>
                <w:szCs w:val="20"/>
                <w:lang w:val="en-CA"/>
              </w:rPr>
              <w:t>[1.61-2.47]</w:t>
            </w:r>
          </w:p>
        </w:tc>
        <w:tc>
          <w:tcPr>
            <w:tcW w:w="219" w:type="dxa"/>
            <w:tcBorders>
              <w:top w:val="single" w:sz="4" w:space="0" w:color="auto"/>
              <w:left w:val="nil"/>
              <w:bottom w:val="nil"/>
              <w:right w:val="nil"/>
            </w:tcBorders>
          </w:tcPr>
          <w:p w14:paraId="466D8C44" w14:textId="77777777" w:rsidR="00E548A8" w:rsidRPr="0071085D" w:rsidRDefault="00E548A8" w:rsidP="00601620">
            <w:pPr>
              <w:widowControl w:val="0"/>
              <w:spacing w:line="480" w:lineRule="auto"/>
              <w:rPr>
                <w:sz w:val="20"/>
                <w:szCs w:val="20"/>
                <w:lang w:val="en-CA"/>
              </w:rPr>
            </w:pPr>
          </w:p>
        </w:tc>
        <w:tc>
          <w:tcPr>
            <w:tcW w:w="1626" w:type="dxa"/>
            <w:tcBorders>
              <w:top w:val="single" w:sz="4" w:space="0" w:color="auto"/>
              <w:left w:val="nil"/>
              <w:bottom w:val="nil"/>
              <w:right w:val="nil"/>
            </w:tcBorders>
          </w:tcPr>
          <w:p w14:paraId="73AAE63D" w14:textId="41B2042A" w:rsidR="00E548A8" w:rsidRPr="0071085D" w:rsidRDefault="00E548A8" w:rsidP="00601620">
            <w:pPr>
              <w:widowControl w:val="0"/>
              <w:spacing w:line="480" w:lineRule="auto"/>
              <w:contextualSpacing/>
              <w:rPr>
                <w:sz w:val="20"/>
                <w:szCs w:val="20"/>
                <w:lang w:val="en-CA"/>
              </w:rPr>
            </w:pPr>
            <w:r w:rsidRPr="0071085D">
              <w:rPr>
                <w:sz w:val="20"/>
                <w:szCs w:val="20"/>
                <w:lang w:val="en-CA"/>
              </w:rPr>
              <w:t>1.35</w:t>
            </w:r>
            <w:r w:rsidR="00EA1C80" w:rsidRPr="0071085D">
              <w:rPr>
                <w:sz w:val="20"/>
                <w:szCs w:val="20"/>
                <w:lang w:val="en-CA"/>
              </w:rPr>
              <w:t xml:space="preserve">** </w:t>
            </w:r>
            <w:r w:rsidRPr="0071085D">
              <w:rPr>
                <w:sz w:val="20"/>
                <w:szCs w:val="20"/>
                <w:lang w:val="en-CA"/>
              </w:rPr>
              <w:t>[1.13-1.63]</w:t>
            </w:r>
          </w:p>
        </w:tc>
        <w:tc>
          <w:tcPr>
            <w:tcW w:w="1121" w:type="dxa"/>
            <w:tcBorders>
              <w:top w:val="single" w:sz="4" w:space="0" w:color="auto"/>
              <w:left w:val="nil"/>
              <w:bottom w:val="nil"/>
              <w:right w:val="nil"/>
            </w:tcBorders>
          </w:tcPr>
          <w:p w14:paraId="7E4FB4AF" w14:textId="42173E0C" w:rsidR="00E548A8" w:rsidRPr="0071085D" w:rsidRDefault="00E548A8" w:rsidP="00601620">
            <w:pPr>
              <w:widowControl w:val="0"/>
              <w:spacing w:line="480" w:lineRule="auto"/>
              <w:rPr>
                <w:sz w:val="20"/>
                <w:szCs w:val="20"/>
                <w:lang w:val="en-CA"/>
              </w:rPr>
            </w:pPr>
            <w:r w:rsidRPr="0071085D">
              <w:rPr>
                <w:sz w:val="20"/>
                <w:szCs w:val="20"/>
                <w:lang w:val="en-CA"/>
              </w:rPr>
              <w:t>a, b &lt; c &lt; d</w:t>
            </w:r>
          </w:p>
        </w:tc>
      </w:tr>
      <w:tr w:rsidR="00CF0DD8" w:rsidRPr="0071085D" w14:paraId="73629499" w14:textId="77777777" w:rsidTr="00F22341">
        <w:trPr>
          <w:trHeight w:val="431"/>
        </w:trPr>
        <w:tc>
          <w:tcPr>
            <w:tcW w:w="1674" w:type="dxa"/>
            <w:tcBorders>
              <w:top w:val="nil"/>
              <w:left w:val="nil"/>
              <w:bottom w:val="nil"/>
              <w:right w:val="nil"/>
            </w:tcBorders>
          </w:tcPr>
          <w:p w14:paraId="1805D353" w14:textId="69619946" w:rsidR="00CF0DD8" w:rsidRPr="0071085D" w:rsidRDefault="00CF0DD8" w:rsidP="00601620">
            <w:pPr>
              <w:widowControl w:val="0"/>
              <w:spacing w:line="480" w:lineRule="auto"/>
              <w:rPr>
                <w:sz w:val="20"/>
                <w:szCs w:val="20"/>
                <w:lang w:val="en-CA"/>
              </w:rPr>
            </w:pPr>
            <w:r w:rsidRPr="0071085D">
              <w:rPr>
                <w:sz w:val="20"/>
                <w:szCs w:val="20"/>
                <w:lang w:val="en-CA"/>
              </w:rPr>
              <w:t>Sex (Female)</w:t>
            </w:r>
          </w:p>
        </w:tc>
        <w:tc>
          <w:tcPr>
            <w:tcW w:w="1714" w:type="dxa"/>
            <w:tcBorders>
              <w:top w:val="nil"/>
              <w:left w:val="nil"/>
              <w:bottom w:val="nil"/>
              <w:right w:val="nil"/>
            </w:tcBorders>
          </w:tcPr>
          <w:p w14:paraId="3288C95B" w14:textId="604207FE" w:rsidR="00CF0DD8" w:rsidRPr="0071085D" w:rsidRDefault="00CF0DD8" w:rsidP="00601620">
            <w:pPr>
              <w:widowControl w:val="0"/>
              <w:spacing w:line="480" w:lineRule="auto"/>
              <w:rPr>
                <w:sz w:val="20"/>
                <w:szCs w:val="20"/>
                <w:lang w:val="en-CA"/>
              </w:rPr>
            </w:pPr>
            <w:r w:rsidRPr="0071085D">
              <w:rPr>
                <w:sz w:val="20"/>
                <w:szCs w:val="20"/>
                <w:lang w:val="en-CA"/>
              </w:rPr>
              <w:t>1.17 [.57-2.40]</w:t>
            </w:r>
          </w:p>
        </w:tc>
        <w:tc>
          <w:tcPr>
            <w:tcW w:w="1816" w:type="dxa"/>
            <w:tcBorders>
              <w:top w:val="nil"/>
              <w:left w:val="nil"/>
              <w:bottom w:val="nil"/>
              <w:right w:val="nil"/>
            </w:tcBorders>
          </w:tcPr>
          <w:p w14:paraId="44A1765C" w14:textId="603974E3" w:rsidR="00CF0DD8" w:rsidRPr="0071085D" w:rsidRDefault="00CF0DD8" w:rsidP="00601620">
            <w:pPr>
              <w:widowControl w:val="0"/>
              <w:spacing w:line="480" w:lineRule="auto"/>
              <w:rPr>
                <w:sz w:val="20"/>
                <w:szCs w:val="20"/>
                <w:lang w:val="en-CA"/>
              </w:rPr>
            </w:pPr>
            <w:r w:rsidRPr="0071085D">
              <w:rPr>
                <w:sz w:val="20"/>
                <w:szCs w:val="20"/>
                <w:lang w:val="en-CA"/>
              </w:rPr>
              <w:t>4.61*** [2.05-10.37]</w:t>
            </w:r>
          </w:p>
        </w:tc>
        <w:tc>
          <w:tcPr>
            <w:tcW w:w="1887" w:type="dxa"/>
            <w:tcBorders>
              <w:top w:val="nil"/>
              <w:left w:val="nil"/>
              <w:bottom w:val="nil"/>
              <w:right w:val="nil"/>
            </w:tcBorders>
          </w:tcPr>
          <w:p w14:paraId="01467A26" w14:textId="17460B99" w:rsidR="00CF0DD8" w:rsidRPr="0071085D" w:rsidRDefault="00CF0DD8" w:rsidP="00601620">
            <w:pPr>
              <w:widowControl w:val="0"/>
              <w:spacing w:line="480" w:lineRule="auto"/>
              <w:rPr>
                <w:sz w:val="20"/>
                <w:szCs w:val="20"/>
                <w:lang w:val="en-CA"/>
              </w:rPr>
            </w:pPr>
            <w:r w:rsidRPr="0071085D">
              <w:rPr>
                <w:sz w:val="20"/>
                <w:szCs w:val="20"/>
                <w:lang w:val="en-CA"/>
              </w:rPr>
              <w:t>17.99*** [3.58-90.47]</w:t>
            </w:r>
          </w:p>
        </w:tc>
        <w:tc>
          <w:tcPr>
            <w:tcW w:w="219" w:type="dxa"/>
            <w:tcBorders>
              <w:top w:val="nil"/>
              <w:left w:val="nil"/>
              <w:bottom w:val="nil"/>
              <w:right w:val="nil"/>
            </w:tcBorders>
          </w:tcPr>
          <w:p w14:paraId="07C8A54D" w14:textId="77777777" w:rsidR="00CF0DD8" w:rsidRPr="0071085D" w:rsidRDefault="00CF0DD8" w:rsidP="00601620">
            <w:pPr>
              <w:widowControl w:val="0"/>
              <w:spacing w:line="480" w:lineRule="auto"/>
              <w:rPr>
                <w:sz w:val="20"/>
                <w:szCs w:val="20"/>
                <w:lang w:val="en-CA"/>
              </w:rPr>
            </w:pPr>
          </w:p>
        </w:tc>
        <w:tc>
          <w:tcPr>
            <w:tcW w:w="1692" w:type="dxa"/>
            <w:tcBorders>
              <w:top w:val="nil"/>
              <w:left w:val="nil"/>
              <w:bottom w:val="nil"/>
              <w:right w:val="nil"/>
            </w:tcBorders>
          </w:tcPr>
          <w:p w14:paraId="377A35DE" w14:textId="7077D2C5" w:rsidR="00CF0DD8" w:rsidRPr="0071085D" w:rsidRDefault="00CF0DD8" w:rsidP="00601620">
            <w:pPr>
              <w:widowControl w:val="0"/>
              <w:spacing w:line="480" w:lineRule="auto"/>
              <w:rPr>
                <w:sz w:val="20"/>
                <w:szCs w:val="20"/>
                <w:lang w:val="en-CA"/>
              </w:rPr>
            </w:pPr>
            <w:r w:rsidRPr="0071085D">
              <w:rPr>
                <w:sz w:val="20"/>
                <w:szCs w:val="20"/>
                <w:lang w:val="en-CA"/>
              </w:rPr>
              <w:t>3.95** [1.81-8.64]</w:t>
            </w:r>
          </w:p>
        </w:tc>
        <w:tc>
          <w:tcPr>
            <w:tcW w:w="1837" w:type="dxa"/>
            <w:tcBorders>
              <w:top w:val="nil"/>
              <w:left w:val="nil"/>
              <w:bottom w:val="nil"/>
              <w:right w:val="nil"/>
            </w:tcBorders>
          </w:tcPr>
          <w:p w14:paraId="66716225" w14:textId="3FDDD0AB" w:rsidR="00CF0DD8" w:rsidRPr="0071085D" w:rsidRDefault="00CF0DD8" w:rsidP="00601620">
            <w:pPr>
              <w:widowControl w:val="0"/>
              <w:spacing w:line="480" w:lineRule="auto"/>
              <w:rPr>
                <w:sz w:val="20"/>
                <w:szCs w:val="20"/>
                <w:lang w:val="en-CA"/>
              </w:rPr>
            </w:pPr>
            <w:r w:rsidRPr="0071085D">
              <w:rPr>
                <w:sz w:val="20"/>
                <w:szCs w:val="20"/>
                <w:lang w:val="en-CA"/>
              </w:rPr>
              <w:t>15.41** [3.21-73.92]</w:t>
            </w:r>
          </w:p>
        </w:tc>
        <w:tc>
          <w:tcPr>
            <w:tcW w:w="219" w:type="dxa"/>
            <w:tcBorders>
              <w:top w:val="nil"/>
              <w:left w:val="nil"/>
              <w:bottom w:val="nil"/>
              <w:right w:val="nil"/>
            </w:tcBorders>
          </w:tcPr>
          <w:p w14:paraId="26CF1B88" w14:textId="77777777" w:rsidR="00CF0DD8" w:rsidRPr="0071085D" w:rsidRDefault="00CF0DD8" w:rsidP="00601620">
            <w:pPr>
              <w:widowControl w:val="0"/>
              <w:spacing w:line="480" w:lineRule="auto"/>
              <w:rPr>
                <w:sz w:val="20"/>
                <w:szCs w:val="20"/>
                <w:lang w:val="en-CA"/>
              </w:rPr>
            </w:pPr>
          </w:p>
        </w:tc>
        <w:tc>
          <w:tcPr>
            <w:tcW w:w="1626" w:type="dxa"/>
            <w:tcBorders>
              <w:top w:val="nil"/>
              <w:left w:val="nil"/>
              <w:bottom w:val="nil"/>
              <w:right w:val="nil"/>
            </w:tcBorders>
          </w:tcPr>
          <w:p w14:paraId="725FEE12" w14:textId="45ABF61C" w:rsidR="00CF0DD8" w:rsidRPr="0071085D" w:rsidRDefault="00CF0DD8" w:rsidP="00601620">
            <w:pPr>
              <w:widowControl w:val="0"/>
              <w:spacing w:line="480" w:lineRule="auto"/>
              <w:rPr>
                <w:sz w:val="20"/>
                <w:szCs w:val="20"/>
                <w:lang w:val="en-CA"/>
              </w:rPr>
            </w:pPr>
            <w:r w:rsidRPr="0071085D">
              <w:rPr>
                <w:sz w:val="20"/>
                <w:szCs w:val="20"/>
                <w:lang w:val="en-CA"/>
              </w:rPr>
              <w:t>3.90 [.87-17.50]</w:t>
            </w:r>
          </w:p>
        </w:tc>
        <w:tc>
          <w:tcPr>
            <w:tcW w:w="1121" w:type="dxa"/>
            <w:tcBorders>
              <w:top w:val="nil"/>
              <w:left w:val="nil"/>
              <w:bottom w:val="nil"/>
              <w:right w:val="nil"/>
            </w:tcBorders>
          </w:tcPr>
          <w:p w14:paraId="653D152F" w14:textId="4A8952C9" w:rsidR="00CF0DD8" w:rsidRPr="0071085D" w:rsidRDefault="00CF0DD8" w:rsidP="00601620">
            <w:pPr>
              <w:widowControl w:val="0"/>
              <w:spacing w:line="480" w:lineRule="auto"/>
              <w:rPr>
                <w:sz w:val="20"/>
                <w:szCs w:val="20"/>
                <w:lang w:val="en-CA"/>
              </w:rPr>
            </w:pPr>
            <w:r w:rsidRPr="0071085D">
              <w:rPr>
                <w:sz w:val="20"/>
                <w:szCs w:val="20"/>
                <w:lang w:val="en-CA"/>
              </w:rPr>
              <w:t>a, b &lt; c, d</w:t>
            </w:r>
          </w:p>
        </w:tc>
      </w:tr>
      <w:tr w:rsidR="00CF0DD8" w:rsidRPr="0071085D" w14:paraId="096D8777" w14:textId="77777777" w:rsidTr="00F22341">
        <w:trPr>
          <w:trHeight w:val="881"/>
        </w:trPr>
        <w:tc>
          <w:tcPr>
            <w:tcW w:w="1674" w:type="dxa"/>
            <w:tcBorders>
              <w:top w:val="nil"/>
              <w:left w:val="nil"/>
              <w:bottom w:val="nil"/>
              <w:right w:val="nil"/>
            </w:tcBorders>
          </w:tcPr>
          <w:p w14:paraId="27EB9A55" w14:textId="6E7722FE" w:rsidR="00CF0DD8" w:rsidRPr="0071085D" w:rsidRDefault="00CF0DD8" w:rsidP="00601620">
            <w:pPr>
              <w:widowControl w:val="0"/>
              <w:spacing w:line="480" w:lineRule="auto"/>
              <w:rPr>
                <w:sz w:val="20"/>
                <w:szCs w:val="20"/>
                <w:lang w:val="en-CA"/>
              </w:rPr>
            </w:pPr>
            <w:r w:rsidRPr="0071085D">
              <w:rPr>
                <w:sz w:val="20"/>
                <w:szCs w:val="20"/>
                <w:lang w:val="en-CA"/>
              </w:rPr>
              <w:t>College / university grad</w:t>
            </w:r>
          </w:p>
        </w:tc>
        <w:tc>
          <w:tcPr>
            <w:tcW w:w="1714" w:type="dxa"/>
            <w:tcBorders>
              <w:top w:val="nil"/>
              <w:left w:val="nil"/>
              <w:bottom w:val="nil"/>
              <w:right w:val="nil"/>
            </w:tcBorders>
          </w:tcPr>
          <w:p w14:paraId="148C8653" w14:textId="6B864D54" w:rsidR="00CF0DD8" w:rsidRPr="0071085D" w:rsidRDefault="00CF0DD8" w:rsidP="00601620">
            <w:pPr>
              <w:widowControl w:val="0"/>
              <w:spacing w:line="480" w:lineRule="auto"/>
              <w:rPr>
                <w:sz w:val="20"/>
                <w:szCs w:val="20"/>
                <w:lang w:val="en-CA"/>
              </w:rPr>
            </w:pPr>
            <w:r w:rsidRPr="0071085D">
              <w:rPr>
                <w:sz w:val="20"/>
                <w:szCs w:val="20"/>
                <w:lang w:val="en-CA"/>
              </w:rPr>
              <w:t>3.55** [1.62-7.81]</w:t>
            </w:r>
          </w:p>
        </w:tc>
        <w:tc>
          <w:tcPr>
            <w:tcW w:w="1816" w:type="dxa"/>
            <w:tcBorders>
              <w:top w:val="nil"/>
              <w:left w:val="nil"/>
              <w:bottom w:val="nil"/>
              <w:right w:val="nil"/>
            </w:tcBorders>
          </w:tcPr>
          <w:p w14:paraId="6E09D0A7" w14:textId="1A516E74" w:rsidR="00CF0DD8" w:rsidRPr="0071085D" w:rsidRDefault="00CF0DD8" w:rsidP="00601620">
            <w:pPr>
              <w:widowControl w:val="0"/>
              <w:spacing w:line="480" w:lineRule="auto"/>
              <w:rPr>
                <w:sz w:val="20"/>
                <w:szCs w:val="20"/>
                <w:lang w:val="en-CA"/>
              </w:rPr>
            </w:pPr>
            <w:r w:rsidRPr="0071085D">
              <w:rPr>
                <w:sz w:val="20"/>
                <w:szCs w:val="20"/>
                <w:lang w:val="en-CA"/>
              </w:rPr>
              <w:t>2.87* [1.21-6.79]</w:t>
            </w:r>
          </w:p>
        </w:tc>
        <w:tc>
          <w:tcPr>
            <w:tcW w:w="1887" w:type="dxa"/>
            <w:tcBorders>
              <w:top w:val="nil"/>
              <w:left w:val="nil"/>
              <w:bottom w:val="nil"/>
              <w:right w:val="nil"/>
            </w:tcBorders>
          </w:tcPr>
          <w:p w14:paraId="099680D8" w14:textId="41071103" w:rsidR="00CF0DD8" w:rsidRPr="0071085D" w:rsidRDefault="00CF0DD8" w:rsidP="00601620">
            <w:pPr>
              <w:widowControl w:val="0"/>
              <w:spacing w:line="480" w:lineRule="auto"/>
              <w:rPr>
                <w:sz w:val="20"/>
                <w:szCs w:val="20"/>
                <w:lang w:val="en-CA"/>
              </w:rPr>
            </w:pPr>
            <w:r w:rsidRPr="0071085D">
              <w:rPr>
                <w:sz w:val="20"/>
                <w:szCs w:val="20"/>
                <w:lang w:val="en-CA"/>
              </w:rPr>
              <w:t>1.42 [.43-4.71]</w:t>
            </w:r>
          </w:p>
        </w:tc>
        <w:tc>
          <w:tcPr>
            <w:tcW w:w="219" w:type="dxa"/>
            <w:tcBorders>
              <w:top w:val="nil"/>
              <w:left w:val="nil"/>
              <w:bottom w:val="nil"/>
              <w:right w:val="nil"/>
            </w:tcBorders>
          </w:tcPr>
          <w:p w14:paraId="6DD9A0C7" w14:textId="77777777" w:rsidR="00CF0DD8" w:rsidRPr="0071085D" w:rsidRDefault="00CF0DD8" w:rsidP="00601620">
            <w:pPr>
              <w:widowControl w:val="0"/>
              <w:spacing w:line="480" w:lineRule="auto"/>
              <w:rPr>
                <w:sz w:val="20"/>
                <w:szCs w:val="20"/>
                <w:lang w:val="en-CA"/>
              </w:rPr>
            </w:pPr>
          </w:p>
        </w:tc>
        <w:tc>
          <w:tcPr>
            <w:tcW w:w="1692" w:type="dxa"/>
            <w:tcBorders>
              <w:top w:val="nil"/>
              <w:left w:val="nil"/>
              <w:bottom w:val="nil"/>
              <w:right w:val="nil"/>
            </w:tcBorders>
          </w:tcPr>
          <w:p w14:paraId="50F9E8FB" w14:textId="2DEEDE8F" w:rsidR="00CF0DD8" w:rsidRPr="0071085D" w:rsidRDefault="00CF0DD8" w:rsidP="00601620">
            <w:pPr>
              <w:widowControl w:val="0"/>
              <w:spacing w:line="480" w:lineRule="auto"/>
              <w:rPr>
                <w:sz w:val="20"/>
                <w:szCs w:val="20"/>
                <w:lang w:val="en-CA"/>
              </w:rPr>
            </w:pPr>
            <w:r w:rsidRPr="0071085D">
              <w:rPr>
                <w:sz w:val="20"/>
                <w:szCs w:val="20"/>
                <w:lang w:val="en-CA"/>
              </w:rPr>
              <w:t>.81 [.35-1.86]</w:t>
            </w:r>
          </w:p>
        </w:tc>
        <w:tc>
          <w:tcPr>
            <w:tcW w:w="1837" w:type="dxa"/>
            <w:tcBorders>
              <w:top w:val="nil"/>
              <w:left w:val="nil"/>
              <w:bottom w:val="nil"/>
              <w:right w:val="nil"/>
            </w:tcBorders>
          </w:tcPr>
          <w:p w14:paraId="1E6BB43C" w14:textId="3FDCD01E" w:rsidR="00CF0DD8" w:rsidRPr="0071085D" w:rsidRDefault="00CF0DD8" w:rsidP="00601620">
            <w:pPr>
              <w:widowControl w:val="0"/>
              <w:spacing w:line="480" w:lineRule="auto"/>
              <w:rPr>
                <w:sz w:val="20"/>
                <w:szCs w:val="20"/>
                <w:lang w:val="en-CA"/>
              </w:rPr>
            </w:pPr>
            <w:r w:rsidRPr="0071085D">
              <w:rPr>
                <w:sz w:val="20"/>
                <w:szCs w:val="20"/>
                <w:lang w:val="en-CA"/>
              </w:rPr>
              <w:t>.40 [.13-1.23]</w:t>
            </w:r>
          </w:p>
        </w:tc>
        <w:tc>
          <w:tcPr>
            <w:tcW w:w="219" w:type="dxa"/>
            <w:tcBorders>
              <w:top w:val="nil"/>
              <w:left w:val="nil"/>
              <w:bottom w:val="nil"/>
              <w:right w:val="nil"/>
            </w:tcBorders>
          </w:tcPr>
          <w:p w14:paraId="24EE2D7A" w14:textId="77777777" w:rsidR="00CF0DD8" w:rsidRPr="0071085D" w:rsidRDefault="00CF0DD8" w:rsidP="00601620">
            <w:pPr>
              <w:widowControl w:val="0"/>
              <w:spacing w:line="480" w:lineRule="auto"/>
              <w:rPr>
                <w:sz w:val="20"/>
                <w:szCs w:val="20"/>
                <w:lang w:val="en-CA"/>
              </w:rPr>
            </w:pPr>
          </w:p>
        </w:tc>
        <w:tc>
          <w:tcPr>
            <w:tcW w:w="1626" w:type="dxa"/>
            <w:tcBorders>
              <w:top w:val="nil"/>
              <w:left w:val="nil"/>
              <w:bottom w:val="nil"/>
              <w:right w:val="nil"/>
            </w:tcBorders>
          </w:tcPr>
          <w:p w14:paraId="60536654" w14:textId="5AF3A960" w:rsidR="00CF0DD8" w:rsidRPr="0071085D" w:rsidRDefault="00CF0DD8" w:rsidP="00601620">
            <w:pPr>
              <w:widowControl w:val="0"/>
              <w:spacing w:line="480" w:lineRule="auto"/>
              <w:rPr>
                <w:sz w:val="20"/>
                <w:szCs w:val="20"/>
                <w:lang w:val="en-CA"/>
              </w:rPr>
            </w:pPr>
            <w:r w:rsidRPr="0071085D">
              <w:rPr>
                <w:sz w:val="20"/>
                <w:szCs w:val="20"/>
                <w:lang w:val="en-CA"/>
              </w:rPr>
              <w:t>.50 [.18-1.34]</w:t>
            </w:r>
          </w:p>
        </w:tc>
        <w:tc>
          <w:tcPr>
            <w:tcW w:w="1121" w:type="dxa"/>
            <w:tcBorders>
              <w:top w:val="nil"/>
              <w:left w:val="nil"/>
              <w:bottom w:val="nil"/>
              <w:right w:val="nil"/>
            </w:tcBorders>
          </w:tcPr>
          <w:p w14:paraId="7A898984" w14:textId="50B5A1B7" w:rsidR="00CF0DD8" w:rsidRPr="0071085D" w:rsidRDefault="00CF0DD8" w:rsidP="00601620">
            <w:pPr>
              <w:widowControl w:val="0"/>
              <w:spacing w:line="480" w:lineRule="auto"/>
              <w:rPr>
                <w:sz w:val="20"/>
                <w:szCs w:val="20"/>
                <w:lang w:val="en-CA"/>
              </w:rPr>
            </w:pPr>
            <w:r w:rsidRPr="0071085D">
              <w:rPr>
                <w:sz w:val="20"/>
                <w:szCs w:val="20"/>
                <w:lang w:val="en-CA"/>
              </w:rPr>
              <w:t>a &lt; b, c</w:t>
            </w:r>
          </w:p>
        </w:tc>
      </w:tr>
      <w:tr w:rsidR="00CF0DD8" w:rsidRPr="0071085D" w14:paraId="21DC345B" w14:textId="77777777" w:rsidTr="00F22341">
        <w:trPr>
          <w:trHeight w:val="861"/>
        </w:trPr>
        <w:tc>
          <w:tcPr>
            <w:tcW w:w="1674" w:type="dxa"/>
            <w:tcBorders>
              <w:top w:val="nil"/>
              <w:left w:val="nil"/>
              <w:bottom w:val="single" w:sz="4" w:space="0" w:color="auto"/>
              <w:right w:val="nil"/>
            </w:tcBorders>
          </w:tcPr>
          <w:p w14:paraId="49F2931B" w14:textId="472474C2" w:rsidR="00CF0DD8" w:rsidRPr="0071085D" w:rsidRDefault="00CF0DD8" w:rsidP="00601620">
            <w:pPr>
              <w:widowControl w:val="0"/>
              <w:spacing w:line="480" w:lineRule="auto"/>
              <w:rPr>
                <w:sz w:val="20"/>
                <w:szCs w:val="20"/>
                <w:lang w:val="en-CA"/>
              </w:rPr>
            </w:pPr>
            <w:r w:rsidRPr="0071085D">
              <w:rPr>
                <w:sz w:val="20"/>
                <w:szCs w:val="20"/>
                <w:lang w:val="en-CA"/>
              </w:rPr>
              <w:t>In a relationship</w:t>
            </w:r>
          </w:p>
        </w:tc>
        <w:tc>
          <w:tcPr>
            <w:tcW w:w="1714" w:type="dxa"/>
            <w:tcBorders>
              <w:top w:val="nil"/>
              <w:left w:val="nil"/>
              <w:bottom w:val="single" w:sz="4" w:space="0" w:color="auto"/>
              <w:right w:val="nil"/>
            </w:tcBorders>
          </w:tcPr>
          <w:p w14:paraId="7A025975" w14:textId="5CA01A0E" w:rsidR="00CF0DD8" w:rsidRPr="0071085D" w:rsidRDefault="00CF0DD8" w:rsidP="00601620">
            <w:pPr>
              <w:widowControl w:val="0"/>
              <w:spacing w:line="480" w:lineRule="auto"/>
              <w:rPr>
                <w:sz w:val="20"/>
                <w:szCs w:val="20"/>
                <w:lang w:val="en-CA"/>
              </w:rPr>
            </w:pPr>
            <w:r w:rsidRPr="0071085D">
              <w:rPr>
                <w:sz w:val="20"/>
                <w:szCs w:val="20"/>
                <w:lang w:val="en-CA"/>
              </w:rPr>
              <w:t>4.08*** [2.19-7.59]</w:t>
            </w:r>
          </w:p>
        </w:tc>
        <w:tc>
          <w:tcPr>
            <w:tcW w:w="1816" w:type="dxa"/>
            <w:tcBorders>
              <w:top w:val="nil"/>
              <w:left w:val="nil"/>
              <w:bottom w:val="single" w:sz="4" w:space="0" w:color="auto"/>
              <w:right w:val="nil"/>
            </w:tcBorders>
          </w:tcPr>
          <w:p w14:paraId="472ED7DD" w14:textId="0514744A" w:rsidR="00CF0DD8" w:rsidRPr="0071085D" w:rsidRDefault="00CF0DD8" w:rsidP="00601620">
            <w:pPr>
              <w:widowControl w:val="0"/>
              <w:spacing w:line="480" w:lineRule="auto"/>
              <w:rPr>
                <w:sz w:val="20"/>
                <w:szCs w:val="20"/>
                <w:lang w:val="en-CA"/>
              </w:rPr>
            </w:pPr>
            <w:r w:rsidRPr="0071085D">
              <w:rPr>
                <w:sz w:val="20"/>
                <w:szCs w:val="20"/>
                <w:lang w:val="en-CA"/>
              </w:rPr>
              <w:t>2.78** [1.46-5.31]</w:t>
            </w:r>
          </w:p>
        </w:tc>
        <w:tc>
          <w:tcPr>
            <w:tcW w:w="1887" w:type="dxa"/>
            <w:tcBorders>
              <w:top w:val="nil"/>
              <w:left w:val="nil"/>
              <w:bottom w:val="single" w:sz="4" w:space="0" w:color="auto"/>
              <w:right w:val="nil"/>
            </w:tcBorders>
          </w:tcPr>
          <w:p w14:paraId="6B1C0496" w14:textId="7CBDEF41" w:rsidR="00CF0DD8" w:rsidRPr="0071085D" w:rsidRDefault="00CF0DD8" w:rsidP="00601620">
            <w:pPr>
              <w:widowControl w:val="0"/>
              <w:spacing w:line="480" w:lineRule="auto"/>
              <w:rPr>
                <w:sz w:val="20"/>
                <w:szCs w:val="20"/>
                <w:lang w:val="en-CA"/>
              </w:rPr>
            </w:pPr>
            <w:r w:rsidRPr="0071085D">
              <w:rPr>
                <w:sz w:val="20"/>
                <w:szCs w:val="20"/>
                <w:lang w:val="en-CA"/>
              </w:rPr>
              <w:t>1.20 [.48-3.01]</w:t>
            </w:r>
          </w:p>
        </w:tc>
        <w:tc>
          <w:tcPr>
            <w:tcW w:w="219" w:type="dxa"/>
            <w:tcBorders>
              <w:top w:val="nil"/>
              <w:left w:val="nil"/>
              <w:bottom w:val="single" w:sz="4" w:space="0" w:color="auto"/>
              <w:right w:val="nil"/>
            </w:tcBorders>
          </w:tcPr>
          <w:p w14:paraId="2CE8DD63" w14:textId="77777777" w:rsidR="00CF0DD8" w:rsidRPr="0071085D" w:rsidRDefault="00CF0DD8" w:rsidP="00601620">
            <w:pPr>
              <w:widowControl w:val="0"/>
              <w:spacing w:line="480" w:lineRule="auto"/>
              <w:rPr>
                <w:sz w:val="20"/>
                <w:szCs w:val="20"/>
                <w:lang w:val="en-CA"/>
              </w:rPr>
            </w:pPr>
          </w:p>
        </w:tc>
        <w:tc>
          <w:tcPr>
            <w:tcW w:w="1692" w:type="dxa"/>
            <w:tcBorders>
              <w:top w:val="nil"/>
              <w:left w:val="nil"/>
              <w:bottom w:val="single" w:sz="4" w:space="0" w:color="auto"/>
              <w:right w:val="nil"/>
            </w:tcBorders>
          </w:tcPr>
          <w:p w14:paraId="7C81F235" w14:textId="1528E345" w:rsidR="00CF0DD8" w:rsidRPr="0071085D" w:rsidRDefault="00CF0DD8" w:rsidP="00601620">
            <w:pPr>
              <w:widowControl w:val="0"/>
              <w:spacing w:line="480" w:lineRule="auto"/>
              <w:rPr>
                <w:sz w:val="20"/>
                <w:szCs w:val="20"/>
                <w:lang w:val="en-CA"/>
              </w:rPr>
            </w:pPr>
            <w:r w:rsidRPr="0071085D">
              <w:rPr>
                <w:sz w:val="20"/>
                <w:szCs w:val="20"/>
                <w:lang w:val="en-CA"/>
              </w:rPr>
              <w:t>.68 [.39-1.20]</w:t>
            </w:r>
          </w:p>
        </w:tc>
        <w:tc>
          <w:tcPr>
            <w:tcW w:w="1837" w:type="dxa"/>
            <w:tcBorders>
              <w:top w:val="nil"/>
              <w:left w:val="nil"/>
              <w:bottom w:val="single" w:sz="4" w:space="0" w:color="auto"/>
              <w:right w:val="nil"/>
            </w:tcBorders>
          </w:tcPr>
          <w:p w14:paraId="2035D3E4" w14:textId="5CA395C5" w:rsidR="00CF0DD8" w:rsidRPr="0071085D" w:rsidRDefault="00CF0DD8" w:rsidP="00601620">
            <w:pPr>
              <w:widowControl w:val="0"/>
              <w:spacing w:line="480" w:lineRule="auto"/>
              <w:rPr>
                <w:sz w:val="20"/>
                <w:szCs w:val="20"/>
                <w:lang w:val="en-CA"/>
              </w:rPr>
            </w:pPr>
            <w:r w:rsidRPr="0071085D">
              <w:rPr>
                <w:sz w:val="20"/>
                <w:szCs w:val="20"/>
                <w:lang w:val="en-CA"/>
              </w:rPr>
              <w:t>.29** [.13-.69]</w:t>
            </w:r>
          </w:p>
        </w:tc>
        <w:tc>
          <w:tcPr>
            <w:tcW w:w="219" w:type="dxa"/>
            <w:tcBorders>
              <w:top w:val="nil"/>
              <w:left w:val="nil"/>
              <w:bottom w:val="single" w:sz="4" w:space="0" w:color="auto"/>
              <w:right w:val="nil"/>
            </w:tcBorders>
          </w:tcPr>
          <w:p w14:paraId="4C0E9663" w14:textId="77777777" w:rsidR="00CF0DD8" w:rsidRPr="0071085D" w:rsidRDefault="00CF0DD8" w:rsidP="00601620">
            <w:pPr>
              <w:widowControl w:val="0"/>
              <w:spacing w:line="480" w:lineRule="auto"/>
              <w:rPr>
                <w:sz w:val="20"/>
                <w:szCs w:val="20"/>
                <w:lang w:val="en-CA"/>
              </w:rPr>
            </w:pPr>
          </w:p>
        </w:tc>
        <w:tc>
          <w:tcPr>
            <w:tcW w:w="1626" w:type="dxa"/>
            <w:tcBorders>
              <w:top w:val="nil"/>
              <w:left w:val="nil"/>
              <w:bottom w:val="single" w:sz="4" w:space="0" w:color="auto"/>
              <w:right w:val="nil"/>
            </w:tcBorders>
          </w:tcPr>
          <w:p w14:paraId="66AC3585" w14:textId="075DA090" w:rsidR="00CF0DD8" w:rsidRPr="0071085D" w:rsidRDefault="00CF0DD8" w:rsidP="00601620">
            <w:pPr>
              <w:widowControl w:val="0"/>
              <w:spacing w:line="480" w:lineRule="auto"/>
              <w:rPr>
                <w:sz w:val="20"/>
                <w:szCs w:val="20"/>
                <w:lang w:val="en-CA"/>
              </w:rPr>
            </w:pPr>
            <w:r w:rsidRPr="0071085D">
              <w:rPr>
                <w:sz w:val="20"/>
                <w:szCs w:val="20"/>
                <w:lang w:val="en-CA"/>
              </w:rPr>
              <w:t>.43* [.20-.93]</w:t>
            </w:r>
          </w:p>
        </w:tc>
        <w:tc>
          <w:tcPr>
            <w:tcW w:w="1121" w:type="dxa"/>
            <w:tcBorders>
              <w:top w:val="nil"/>
              <w:left w:val="nil"/>
              <w:bottom w:val="single" w:sz="4" w:space="0" w:color="auto"/>
              <w:right w:val="nil"/>
            </w:tcBorders>
          </w:tcPr>
          <w:p w14:paraId="778E1C2F" w14:textId="530DF619" w:rsidR="00CF0DD8" w:rsidRPr="0071085D" w:rsidRDefault="00CF0DD8" w:rsidP="00601620">
            <w:pPr>
              <w:widowControl w:val="0"/>
              <w:spacing w:line="480" w:lineRule="auto"/>
              <w:rPr>
                <w:sz w:val="20"/>
                <w:szCs w:val="20"/>
                <w:lang w:val="en-CA"/>
              </w:rPr>
            </w:pPr>
            <w:r w:rsidRPr="0071085D">
              <w:rPr>
                <w:sz w:val="20"/>
                <w:szCs w:val="20"/>
                <w:lang w:val="en-CA"/>
              </w:rPr>
              <w:t xml:space="preserve">a &lt; b, c; </w:t>
            </w:r>
            <w:r w:rsidRPr="0071085D">
              <w:rPr>
                <w:sz w:val="20"/>
                <w:szCs w:val="20"/>
                <w:lang w:val="en-CA"/>
              </w:rPr>
              <w:br/>
              <w:t>b, c &gt; d</w:t>
            </w:r>
          </w:p>
        </w:tc>
      </w:tr>
      <w:tr w:rsidR="00EA1C80" w:rsidRPr="0071085D" w14:paraId="1A7806BC" w14:textId="77777777" w:rsidTr="00F22341">
        <w:trPr>
          <w:trHeight w:val="450"/>
        </w:trPr>
        <w:tc>
          <w:tcPr>
            <w:tcW w:w="1674" w:type="dxa"/>
            <w:tcBorders>
              <w:top w:val="single" w:sz="4" w:space="0" w:color="auto"/>
              <w:left w:val="nil"/>
              <w:bottom w:val="nil"/>
              <w:right w:val="nil"/>
            </w:tcBorders>
          </w:tcPr>
          <w:p w14:paraId="0BC611AC" w14:textId="56A3E639" w:rsidR="00EA1C80" w:rsidRPr="0071085D" w:rsidRDefault="00EA1C80" w:rsidP="00601620">
            <w:pPr>
              <w:widowControl w:val="0"/>
              <w:spacing w:line="480" w:lineRule="auto"/>
              <w:rPr>
                <w:sz w:val="20"/>
                <w:szCs w:val="20"/>
                <w:lang w:val="en-CA"/>
              </w:rPr>
            </w:pPr>
            <w:r w:rsidRPr="0071085D">
              <w:rPr>
                <w:sz w:val="20"/>
                <w:szCs w:val="20"/>
                <w:lang w:val="en-CA"/>
              </w:rPr>
              <w:t>Imp. S-seeking</w:t>
            </w:r>
          </w:p>
        </w:tc>
        <w:tc>
          <w:tcPr>
            <w:tcW w:w="1714" w:type="dxa"/>
            <w:tcBorders>
              <w:top w:val="single" w:sz="4" w:space="0" w:color="auto"/>
              <w:left w:val="nil"/>
              <w:bottom w:val="nil"/>
              <w:right w:val="nil"/>
            </w:tcBorders>
          </w:tcPr>
          <w:p w14:paraId="48A0A490" w14:textId="68C3F7A4" w:rsidR="00EA1C80" w:rsidRPr="0071085D" w:rsidRDefault="00EA1C80" w:rsidP="00601620">
            <w:pPr>
              <w:widowControl w:val="0"/>
              <w:spacing w:line="480" w:lineRule="auto"/>
              <w:rPr>
                <w:sz w:val="20"/>
                <w:szCs w:val="20"/>
                <w:lang w:val="en-CA"/>
              </w:rPr>
            </w:pPr>
            <w:r w:rsidRPr="0071085D">
              <w:rPr>
                <w:sz w:val="20"/>
                <w:szCs w:val="20"/>
                <w:lang w:val="en-CA"/>
              </w:rPr>
              <w:t>1.30 [.84-2.01]</w:t>
            </w:r>
          </w:p>
        </w:tc>
        <w:tc>
          <w:tcPr>
            <w:tcW w:w="1816" w:type="dxa"/>
            <w:tcBorders>
              <w:top w:val="single" w:sz="4" w:space="0" w:color="auto"/>
              <w:left w:val="nil"/>
              <w:bottom w:val="nil"/>
              <w:right w:val="nil"/>
            </w:tcBorders>
          </w:tcPr>
          <w:p w14:paraId="55D6012D" w14:textId="41002DBD" w:rsidR="00EA1C80" w:rsidRPr="0071085D" w:rsidRDefault="00EA1C80" w:rsidP="00601620">
            <w:pPr>
              <w:widowControl w:val="0"/>
              <w:spacing w:line="480" w:lineRule="auto"/>
              <w:rPr>
                <w:sz w:val="20"/>
                <w:szCs w:val="20"/>
                <w:lang w:val="en-CA"/>
              </w:rPr>
            </w:pPr>
            <w:r w:rsidRPr="0071085D">
              <w:rPr>
                <w:sz w:val="20"/>
                <w:szCs w:val="20"/>
                <w:lang w:val="en-CA"/>
              </w:rPr>
              <w:t>3.67*** [2.38-5.64]</w:t>
            </w:r>
          </w:p>
        </w:tc>
        <w:tc>
          <w:tcPr>
            <w:tcW w:w="1887" w:type="dxa"/>
            <w:tcBorders>
              <w:top w:val="single" w:sz="4" w:space="0" w:color="auto"/>
              <w:left w:val="nil"/>
              <w:bottom w:val="nil"/>
              <w:right w:val="nil"/>
            </w:tcBorders>
          </w:tcPr>
          <w:p w14:paraId="0DF80586" w14:textId="3EE7795C" w:rsidR="00EA1C80" w:rsidRPr="0071085D" w:rsidRDefault="00EA1C80" w:rsidP="00601620">
            <w:pPr>
              <w:widowControl w:val="0"/>
              <w:spacing w:line="480" w:lineRule="auto"/>
              <w:rPr>
                <w:sz w:val="20"/>
                <w:szCs w:val="20"/>
                <w:lang w:val="en-CA"/>
              </w:rPr>
            </w:pPr>
            <w:r w:rsidRPr="0071085D">
              <w:rPr>
                <w:sz w:val="20"/>
                <w:szCs w:val="20"/>
                <w:lang w:val="en-CA"/>
              </w:rPr>
              <w:t>9.62*** [4.91-18.85]</w:t>
            </w:r>
          </w:p>
        </w:tc>
        <w:tc>
          <w:tcPr>
            <w:tcW w:w="219" w:type="dxa"/>
            <w:tcBorders>
              <w:top w:val="single" w:sz="4" w:space="0" w:color="auto"/>
              <w:left w:val="nil"/>
              <w:bottom w:val="nil"/>
              <w:right w:val="nil"/>
            </w:tcBorders>
          </w:tcPr>
          <w:p w14:paraId="7EF8A7EA" w14:textId="77777777" w:rsidR="00EA1C80" w:rsidRPr="0071085D" w:rsidRDefault="00EA1C80" w:rsidP="00601620">
            <w:pPr>
              <w:widowControl w:val="0"/>
              <w:spacing w:line="480" w:lineRule="auto"/>
              <w:rPr>
                <w:sz w:val="20"/>
                <w:szCs w:val="20"/>
                <w:lang w:val="en-CA"/>
              </w:rPr>
            </w:pPr>
          </w:p>
        </w:tc>
        <w:tc>
          <w:tcPr>
            <w:tcW w:w="1692" w:type="dxa"/>
            <w:tcBorders>
              <w:top w:val="single" w:sz="4" w:space="0" w:color="auto"/>
              <w:left w:val="nil"/>
              <w:bottom w:val="nil"/>
              <w:right w:val="nil"/>
            </w:tcBorders>
          </w:tcPr>
          <w:p w14:paraId="244EABBA" w14:textId="49947149" w:rsidR="00EA1C80" w:rsidRPr="0071085D" w:rsidRDefault="00EA1C80" w:rsidP="00601620">
            <w:pPr>
              <w:widowControl w:val="0"/>
              <w:spacing w:line="480" w:lineRule="auto"/>
              <w:rPr>
                <w:sz w:val="20"/>
                <w:szCs w:val="20"/>
                <w:lang w:val="en-CA"/>
              </w:rPr>
            </w:pPr>
            <w:r w:rsidRPr="0071085D">
              <w:rPr>
                <w:sz w:val="20"/>
                <w:szCs w:val="20"/>
                <w:lang w:val="en-CA"/>
              </w:rPr>
              <w:t>2.82*** [1.95-4.07]</w:t>
            </w:r>
          </w:p>
        </w:tc>
        <w:tc>
          <w:tcPr>
            <w:tcW w:w="1837" w:type="dxa"/>
            <w:tcBorders>
              <w:top w:val="single" w:sz="4" w:space="0" w:color="auto"/>
              <w:left w:val="nil"/>
              <w:bottom w:val="nil"/>
              <w:right w:val="nil"/>
            </w:tcBorders>
          </w:tcPr>
          <w:p w14:paraId="791ED1D0" w14:textId="5ECAE6DE" w:rsidR="00EA1C80" w:rsidRPr="0071085D" w:rsidRDefault="00EA1C80" w:rsidP="00601620">
            <w:pPr>
              <w:widowControl w:val="0"/>
              <w:spacing w:line="480" w:lineRule="auto"/>
              <w:rPr>
                <w:sz w:val="20"/>
                <w:szCs w:val="20"/>
                <w:lang w:val="en-CA"/>
              </w:rPr>
            </w:pPr>
            <w:r w:rsidRPr="0071085D">
              <w:rPr>
                <w:sz w:val="20"/>
                <w:szCs w:val="20"/>
                <w:lang w:val="en-CA"/>
              </w:rPr>
              <w:t>7.39*** [3.90-14.00]</w:t>
            </w:r>
          </w:p>
        </w:tc>
        <w:tc>
          <w:tcPr>
            <w:tcW w:w="219" w:type="dxa"/>
            <w:tcBorders>
              <w:top w:val="single" w:sz="4" w:space="0" w:color="auto"/>
              <w:left w:val="nil"/>
              <w:bottom w:val="nil"/>
              <w:right w:val="nil"/>
            </w:tcBorders>
          </w:tcPr>
          <w:p w14:paraId="2E641133" w14:textId="77777777" w:rsidR="00EA1C80" w:rsidRPr="0071085D" w:rsidRDefault="00EA1C80" w:rsidP="00601620">
            <w:pPr>
              <w:widowControl w:val="0"/>
              <w:spacing w:line="480" w:lineRule="auto"/>
              <w:rPr>
                <w:sz w:val="20"/>
                <w:szCs w:val="20"/>
                <w:lang w:val="en-CA"/>
              </w:rPr>
            </w:pPr>
          </w:p>
        </w:tc>
        <w:tc>
          <w:tcPr>
            <w:tcW w:w="1626" w:type="dxa"/>
            <w:tcBorders>
              <w:top w:val="single" w:sz="4" w:space="0" w:color="auto"/>
              <w:left w:val="nil"/>
              <w:bottom w:val="nil"/>
              <w:right w:val="nil"/>
            </w:tcBorders>
          </w:tcPr>
          <w:p w14:paraId="4FF49616" w14:textId="77E975BB" w:rsidR="00EA1C80" w:rsidRPr="0071085D" w:rsidRDefault="00EA1C80" w:rsidP="00601620">
            <w:pPr>
              <w:widowControl w:val="0"/>
              <w:spacing w:line="480" w:lineRule="auto"/>
              <w:rPr>
                <w:sz w:val="20"/>
                <w:szCs w:val="20"/>
                <w:lang w:val="en-CA"/>
              </w:rPr>
            </w:pPr>
            <w:r w:rsidRPr="0071085D">
              <w:rPr>
                <w:sz w:val="20"/>
                <w:szCs w:val="20"/>
                <w:lang w:val="en-CA"/>
              </w:rPr>
              <w:t>2.62** [1.49-4.61]</w:t>
            </w:r>
          </w:p>
        </w:tc>
        <w:tc>
          <w:tcPr>
            <w:tcW w:w="1121" w:type="dxa"/>
            <w:tcBorders>
              <w:top w:val="single" w:sz="4" w:space="0" w:color="auto"/>
              <w:left w:val="nil"/>
              <w:bottom w:val="nil"/>
              <w:right w:val="nil"/>
            </w:tcBorders>
          </w:tcPr>
          <w:p w14:paraId="752EAB8C" w14:textId="525671C8" w:rsidR="00EA1C80" w:rsidRPr="0071085D" w:rsidRDefault="00EA1C80" w:rsidP="00601620">
            <w:pPr>
              <w:widowControl w:val="0"/>
              <w:spacing w:line="480" w:lineRule="auto"/>
              <w:rPr>
                <w:sz w:val="20"/>
                <w:szCs w:val="20"/>
                <w:lang w:val="en-CA"/>
              </w:rPr>
            </w:pPr>
            <w:r w:rsidRPr="0071085D">
              <w:rPr>
                <w:sz w:val="20"/>
                <w:szCs w:val="20"/>
                <w:lang w:val="en-CA"/>
              </w:rPr>
              <w:t>a, b &lt; c &lt; d</w:t>
            </w:r>
          </w:p>
        </w:tc>
      </w:tr>
      <w:tr w:rsidR="00EA1C80" w:rsidRPr="0071085D" w14:paraId="1942240B" w14:textId="77777777" w:rsidTr="00F22341">
        <w:trPr>
          <w:trHeight w:val="450"/>
        </w:trPr>
        <w:tc>
          <w:tcPr>
            <w:tcW w:w="1674" w:type="dxa"/>
            <w:tcBorders>
              <w:top w:val="nil"/>
              <w:left w:val="nil"/>
              <w:bottom w:val="nil"/>
              <w:right w:val="nil"/>
            </w:tcBorders>
          </w:tcPr>
          <w:p w14:paraId="585E041A" w14:textId="5127A61F" w:rsidR="00EA1C80" w:rsidRPr="0071085D" w:rsidRDefault="00EA1C80" w:rsidP="00601620">
            <w:pPr>
              <w:widowControl w:val="0"/>
              <w:spacing w:line="480" w:lineRule="auto"/>
              <w:rPr>
                <w:sz w:val="20"/>
                <w:szCs w:val="20"/>
                <w:lang w:val="en-CA"/>
              </w:rPr>
            </w:pPr>
            <w:r w:rsidRPr="0071085D">
              <w:rPr>
                <w:sz w:val="20"/>
                <w:szCs w:val="20"/>
                <w:lang w:val="en-CA"/>
              </w:rPr>
              <w:t xml:space="preserve">Life satisfaction </w:t>
            </w:r>
          </w:p>
        </w:tc>
        <w:tc>
          <w:tcPr>
            <w:tcW w:w="1714" w:type="dxa"/>
            <w:tcBorders>
              <w:top w:val="nil"/>
              <w:left w:val="nil"/>
              <w:bottom w:val="nil"/>
              <w:right w:val="nil"/>
            </w:tcBorders>
          </w:tcPr>
          <w:p w14:paraId="29D04977" w14:textId="791CDC15" w:rsidR="00EA1C80" w:rsidRPr="0071085D" w:rsidRDefault="00EA1C80" w:rsidP="00601620">
            <w:pPr>
              <w:widowControl w:val="0"/>
              <w:spacing w:line="480" w:lineRule="auto"/>
              <w:rPr>
                <w:sz w:val="20"/>
                <w:szCs w:val="20"/>
                <w:lang w:val="en-CA"/>
              </w:rPr>
            </w:pPr>
            <w:r w:rsidRPr="0071085D">
              <w:rPr>
                <w:sz w:val="20"/>
                <w:szCs w:val="20"/>
                <w:lang w:val="en-CA"/>
              </w:rPr>
              <w:t>1.00 [.78-1.28]</w:t>
            </w:r>
          </w:p>
        </w:tc>
        <w:tc>
          <w:tcPr>
            <w:tcW w:w="1816" w:type="dxa"/>
            <w:tcBorders>
              <w:top w:val="nil"/>
              <w:left w:val="nil"/>
              <w:bottom w:val="nil"/>
              <w:right w:val="nil"/>
            </w:tcBorders>
          </w:tcPr>
          <w:p w14:paraId="369F22E9" w14:textId="63341640" w:rsidR="00EA1C80" w:rsidRPr="0071085D" w:rsidRDefault="00EA1C80" w:rsidP="00601620">
            <w:pPr>
              <w:widowControl w:val="0"/>
              <w:spacing w:line="480" w:lineRule="auto"/>
              <w:rPr>
                <w:sz w:val="20"/>
                <w:szCs w:val="20"/>
                <w:lang w:val="en-CA"/>
              </w:rPr>
            </w:pPr>
            <w:r w:rsidRPr="0071085D">
              <w:rPr>
                <w:sz w:val="20"/>
                <w:szCs w:val="20"/>
                <w:lang w:val="en-CA"/>
              </w:rPr>
              <w:t>1.22 [.95-1.56]</w:t>
            </w:r>
          </w:p>
        </w:tc>
        <w:tc>
          <w:tcPr>
            <w:tcW w:w="1887" w:type="dxa"/>
            <w:tcBorders>
              <w:top w:val="nil"/>
              <w:left w:val="nil"/>
              <w:bottom w:val="nil"/>
              <w:right w:val="nil"/>
            </w:tcBorders>
          </w:tcPr>
          <w:p w14:paraId="120B25D4" w14:textId="60468292" w:rsidR="00EA1C80" w:rsidRPr="0071085D" w:rsidRDefault="00EA1C80" w:rsidP="00601620">
            <w:pPr>
              <w:widowControl w:val="0"/>
              <w:spacing w:line="480" w:lineRule="auto"/>
              <w:rPr>
                <w:sz w:val="20"/>
                <w:szCs w:val="20"/>
                <w:lang w:val="en-CA"/>
              </w:rPr>
            </w:pPr>
            <w:r w:rsidRPr="0071085D">
              <w:rPr>
                <w:sz w:val="20"/>
                <w:szCs w:val="20"/>
                <w:lang w:val="en-CA"/>
              </w:rPr>
              <w:t>1.00 [.69-1.44]</w:t>
            </w:r>
          </w:p>
        </w:tc>
        <w:tc>
          <w:tcPr>
            <w:tcW w:w="219" w:type="dxa"/>
            <w:tcBorders>
              <w:top w:val="nil"/>
              <w:left w:val="nil"/>
              <w:bottom w:val="nil"/>
              <w:right w:val="nil"/>
            </w:tcBorders>
          </w:tcPr>
          <w:p w14:paraId="50B7000B" w14:textId="77777777" w:rsidR="00EA1C80" w:rsidRPr="0071085D" w:rsidRDefault="00EA1C80" w:rsidP="00601620">
            <w:pPr>
              <w:widowControl w:val="0"/>
              <w:spacing w:line="480" w:lineRule="auto"/>
              <w:rPr>
                <w:sz w:val="20"/>
                <w:szCs w:val="20"/>
                <w:lang w:val="en-CA"/>
              </w:rPr>
            </w:pPr>
          </w:p>
        </w:tc>
        <w:tc>
          <w:tcPr>
            <w:tcW w:w="1692" w:type="dxa"/>
            <w:tcBorders>
              <w:top w:val="nil"/>
              <w:left w:val="nil"/>
              <w:bottom w:val="nil"/>
              <w:right w:val="nil"/>
            </w:tcBorders>
          </w:tcPr>
          <w:p w14:paraId="17899185" w14:textId="2907BB53" w:rsidR="00EA1C80" w:rsidRPr="0071085D" w:rsidRDefault="00EA1C80" w:rsidP="00601620">
            <w:pPr>
              <w:widowControl w:val="0"/>
              <w:spacing w:line="480" w:lineRule="auto"/>
              <w:rPr>
                <w:sz w:val="20"/>
                <w:szCs w:val="20"/>
                <w:lang w:val="en-CA"/>
              </w:rPr>
            </w:pPr>
            <w:r w:rsidRPr="0071085D">
              <w:rPr>
                <w:sz w:val="20"/>
                <w:szCs w:val="20"/>
                <w:lang w:val="en-CA"/>
              </w:rPr>
              <w:t>1.22 [.96-1.54]</w:t>
            </w:r>
          </w:p>
        </w:tc>
        <w:tc>
          <w:tcPr>
            <w:tcW w:w="1837" w:type="dxa"/>
            <w:tcBorders>
              <w:top w:val="nil"/>
              <w:left w:val="nil"/>
              <w:bottom w:val="nil"/>
              <w:right w:val="nil"/>
            </w:tcBorders>
          </w:tcPr>
          <w:p w14:paraId="13A067E5" w14:textId="28AA2F7A" w:rsidR="00EA1C80" w:rsidRPr="0071085D" w:rsidRDefault="00EA1C80" w:rsidP="00601620">
            <w:pPr>
              <w:widowControl w:val="0"/>
              <w:spacing w:line="480" w:lineRule="auto"/>
              <w:rPr>
                <w:sz w:val="20"/>
                <w:szCs w:val="20"/>
                <w:lang w:val="en-CA"/>
              </w:rPr>
            </w:pPr>
            <w:r w:rsidRPr="0071085D">
              <w:rPr>
                <w:sz w:val="20"/>
                <w:szCs w:val="20"/>
                <w:lang w:val="en-CA"/>
              </w:rPr>
              <w:t>1.01 [.71-1.44]</w:t>
            </w:r>
          </w:p>
        </w:tc>
        <w:tc>
          <w:tcPr>
            <w:tcW w:w="219" w:type="dxa"/>
            <w:tcBorders>
              <w:top w:val="nil"/>
              <w:left w:val="nil"/>
              <w:bottom w:val="nil"/>
              <w:right w:val="nil"/>
            </w:tcBorders>
          </w:tcPr>
          <w:p w14:paraId="0BBE8819" w14:textId="77777777" w:rsidR="00EA1C80" w:rsidRPr="0071085D" w:rsidRDefault="00EA1C80" w:rsidP="00601620">
            <w:pPr>
              <w:widowControl w:val="0"/>
              <w:spacing w:line="480" w:lineRule="auto"/>
              <w:rPr>
                <w:sz w:val="20"/>
                <w:szCs w:val="20"/>
                <w:lang w:val="en-CA"/>
              </w:rPr>
            </w:pPr>
          </w:p>
        </w:tc>
        <w:tc>
          <w:tcPr>
            <w:tcW w:w="1626" w:type="dxa"/>
            <w:tcBorders>
              <w:top w:val="nil"/>
              <w:left w:val="nil"/>
              <w:bottom w:val="nil"/>
              <w:right w:val="nil"/>
            </w:tcBorders>
          </w:tcPr>
          <w:p w14:paraId="2777DAA2" w14:textId="5957E065" w:rsidR="00EA1C80" w:rsidRPr="0071085D" w:rsidRDefault="00EA1C80" w:rsidP="00601620">
            <w:pPr>
              <w:widowControl w:val="0"/>
              <w:spacing w:line="480" w:lineRule="auto"/>
              <w:rPr>
                <w:sz w:val="20"/>
                <w:szCs w:val="20"/>
                <w:lang w:val="en-CA"/>
              </w:rPr>
            </w:pPr>
            <w:r w:rsidRPr="0071085D">
              <w:rPr>
                <w:sz w:val="20"/>
                <w:szCs w:val="20"/>
                <w:lang w:val="en-CA"/>
              </w:rPr>
              <w:t>.83 [.60-1.15]</w:t>
            </w:r>
          </w:p>
        </w:tc>
        <w:tc>
          <w:tcPr>
            <w:tcW w:w="1121" w:type="dxa"/>
            <w:tcBorders>
              <w:top w:val="nil"/>
              <w:left w:val="nil"/>
              <w:bottom w:val="nil"/>
              <w:right w:val="nil"/>
            </w:tcBorders>
          </w:tcPr>
          <w:p w14:paraId="3C0B517E" w14:textId="1B485B42" w:rsidR="00EA1C80" w:rsidRPr="0071085D" w:rsidRDefault="00EA1C80" w:rsidP="00601620">
            <w:pPr>
              <w:widowControl w:val="0"/>
              <w:spacing w:line="480" w:lineRule="auto"/>
              <w:rPr>
                <w:sz w:val="20"/>
                <w:szCs w:val="20"/>
                <w:lang w:val="en-CA"/>
              </w:rPr>
            </w:pPr>
            <w:r w:rsidRPr="0071085D">
              <w:rPr>
                <w:sz w:val="20"/>
                <w:szCs w:val="20"/>
                <w:lang w:val="en-CA"/>
              </w:rPr>
              <w:t>n. s.</w:t>
            </w:r>
          </w:p>
        </w:tc>
      </w:tr>
      <w:tr w:rsidR="00EA1C80" w:rsidRPr="0071085D" w14:paraId="76EA760B" w14:textId="77777777" w:rsidTr="00F22341">
        <w:trPr>
          <w:trHeight w:val="431"/>
        </w:trPr>
        <w:tc>
          <w:tcPr>
            <w:tcW w:w="1674" w:type="dxa"/>
            <w:tcBorders>
              <w:top w:val="nil"/>
              <w:left w:val="nil"/>
              <w:bottom w:val="single" w:sz="4" w:space="0" w:color="auto"/>
              <w:right w:val="nil"/>
            </w:tcBorders>
          </w:tcPr>
          <w:p w14:paraId="16E5C890" w14:textId="0C0BF568" w:rsidR="00EA1C80" w:rsidRPr="0071085D" w:rsidRDefault="00EA1C80" w:rsidP="00601620">
            <w:pPr>
              <w:widowControl w:val="0"/>
              <w:spacing w:line="480" w:lineRule="auto"/>
              <w:rPr>
                <w:sz w:val="20"/>
                <w:szCs w:val="20"/>
                <w:lang w:val="en-CA"/>
              </w:rPr>
            </w:pPr>
            <w:r w:rsidRPr="0071085D">
              <w:rPr>
                <w:sz w:val="20"/>
                <w:szCs w:val="20"/>
                <w:lang w:val="en-CA"/>
              </w:rPr>
              <w:t>Social desirability</w:t>
            </w:r>
          </w:p>
        </w:tc>
        <w:tc>
          <w:tcPr>
            <w:tcW w:w="1714" w:type="dxa"/>
            <w:tcBorders>
              <w:top w:val="nil"/>
              <w:left w:val="nil"/>
              <w:bottom w:val="single" w:sz="4" w:space="0" w:color="auto"/>
              <w:right w:val="nil"/>
            </w:tcBorders>
          </w:tcPr>
          <w:p w14:paraId="084BF796" w14:textId="41D24C81" w:rsidR="00EA1C80" w:rsidRPr="0071085D" w:rsidRDefault="00EA1C80" w:rsidP="00601620">
            <w:pPr>
              <w:widowControl w:val="0"/>
              <w:spacing w:line="480" w:lineRule="auto"/>
              <w:rPr>
                <w:sz w:val="20"/>
                <w:szCs w:val="20"/>
                <w:lang w:val="en-CA"/>
              </w:rPr>
            </w:pPr>
            <w:r w:rsidRPr="0071085D">
              <w:rPr>
                <w:sz w:val="20"/>
                <w:szCs w:val="20"/>
                <w:lang w:val="en-CA"/>
              </w:rPr>
              <w:t>1.63 [.85-3.10]</w:t>
            </w:r>
          </w:p>
        </w:tc>
        <w:tc>
          <w:tcPr>
            <w:tcW w:w="1816" w:type="dxa"/>
            <w:tcBorders>
              <w:top w:val="nil"/>
              <w:left w:val="nil"/>
              <w:bottom w:val="single" w:sz="4" w:space="0" w:color="auto"/>
              <w:right w:val="nil"/>
            </w:tcBorders>
          </w:tcPr>
          <w:p w14:paraId="6565DC9A" w14:textId="3BCDD3C5" w:rsidR="00EA1C80" w:rsidRPr="0071085D" w:rsidRDefault="00EA1C80" w:rsidP="00601620">
            <w:pPr>
              <w:widowControl w:val="0"/>
              <w:spacing w:line="480" w:lineRule="auto"/>
              <w:rPr>
                <w:sz w:val="20"/>
                <w:szCs w:val="20"/>
                <w:lang w:val="en-CA"/>
              </w:rPr>
            </w:pPr>
            <w:r w:rsidRPr="0071085D">
              <w:rPr>
                <w:sz w:val="20"/>
                <w:szCs w:val="20"/>
                <w:lang w:val="en-CA"/>
              </w:rPr>
              <w:t>1.31 [.71-2.43]</w:t>
            </w:r>
          </w:p>
        </w:tc>
        <w:tc>
          <w:tcPr>
            <w:tcW w:w="1887" w:type="dxa"/>
            <w:tcBorders>
              <w:top w:val="nil"/>
              <w:left w:val="nil"/>
              <w:bottom w:val="single" w:sz="4" w:space="0" w:color="auto"/>
              <w:right w:val="nil"/>
            </w:tcBorders>
          </w:tcPr>
          <w:p w14:paraId="0FCCF91C" w14:textId="6241FD6A" w:rsidR="00EA1C80" w:rsidRPr="0071085D" w:rsidRDefault="00EA1C80" w:rsidP="00601620">
            <w:pPr>
              <w:widowControl w:val="0"/>
              <w:spacing w:line="480" w:lineRule="auto"/>
              <w:rPr>
                <w:sz w:val="20"/>
                <w:szCs w:val="20"/>
                <w:lang w:val="en-CA"/>
              </w:rPr>
            </w:pPr>
            <w:r w:rsidRPr="0071085D">
              <w:rPr>
                <w:sz w:val="20"/>
                <w:szCs w:val="20"/>
                <w:lang w:val="en-CA"/>
              </w:rPr>
              <w:t>.79 [.29-2.14]</w:t>
            </w:r>
          </w:p>
        </w:tc>
        <w:tc>
          <w:tcPr>
            <w:tcW w:w="219" w:type="dxa"/>
            <w:tcBorders>
              <w:top w:val="nil"/>
              <w:left w:val="nil"/>
              <w:bottom w:val="single" w:sz="4" w:space="0" w:color="auto"/>
              <w:right w:val="nil"/>
            </w:tcBorders>
          </w:tcPr>
          <w:p w14:paraId="457D4FA2" w14:textId="77777777" w:rsidR="00EA1C80" w:rsidRPr="0071085D" w:rsidRDefault="00EA1C80" w:rsidP="00601620">
            <w:pPr>
              <w:widowControl w:val="0"/>
              <w:spacing w:line="480" w:lineRule="auto"/>
              <w:rPr>
                <w:sz w:val="20"/>
                <w:szCs w:val="20"/>
                <w:lang w:val="en-CA"/>
              </w:rPr>
            </w:pPr>
          </w:p>
        </w:tc>
        <w:tc>
          <w:tcPr>
            <w:tcW w:w="1692" w:type="dxa"/>
            <w:tcBorders>
              <w:top w:val="nil"/>
              <w:left w:val="nil"/>
              <w:bottom w:val="single" w:sz="4" w:space="0" w:color="auto"/>
              <w:right w:val="nil"/>
            </w:tcBorders>
          </w:tcPr>
          <w:p w14:paraId="7364D6FC" w14:textId="23EC2A5F" w:rsidR="00EA1C80" w:rsidRPr="0071085D" w:rsidRDefault="00EA1C80" w:rsidP="00601620">
            <w:pPr>
              <w:widowControl w:val="0"/>
              <w:spacing w:line="480" w:lineRule="auto"/>
              <w:rPr>
                <w:sz w:val="20"/>
                <w:szCs w:val="20"/>
                <w:lang w:val="en-CA"/>
              </w:rPr>
            </w:pPr>
            <w:r w:rsidRPr="0071085D">
              <w:rPr>
                <w:sz w:val="20"/>
                <w:szCs w:val="20"/>
                <w:lang w:val="en-CA"/>
              </w:rPr>
              <w:t>.81 [.44-1.48]</w:t>
            </w:r>
          </w:p>
        </w:tc>
        <w:tc>
          <w:tcPr>
            <w:tcW w:w="1837" w:type="dxa"/>
            <w:tcBorders>
              <w:top w:val="nil"/>
              <w:left w:val="nil"/>
              <w:bottom w:val="single" w:sz="4" w:space="0" w:color="auto"/>
              <w:right w:val="nil"/>
            </w:tcBorders>
          </w:tcPr>
          <w:p w14:paraId="7E987947" w14:textId="36224A31" w:rsidR="00EA1C80" w:rsidRPr="0071085D" w:rsidRDefault="00EA1C80" w:rsidP="00601620">
            <w:pPr>
              <w:widowControl w:val="0"/>
              <w:spacing w:line="480" w:lineRule="auto"/>
              <w:rPr>
                <w:sz w:val="20"/>
                <w:szCs w:val="20"/>
                <w:lang w:val="en-CA"/>
              </w:rPr>
            </w:pPr>
            <w:r w:rsidRPr="0071085D">
              <w:rPr>
                <w:sz w:val="20"/>
                <w:szCs w:val="20"/>
                <w:lang w:val="en-CA"/>
              </w:rPr>
              <w:t>.48 [.18-1.31]</w:t>
            </w:r>
          </w:p>
        </w:tc>
        <w:tc>
          <w:tcPr>
            <w:tcW w:w="219" w:type="dxa"/>
            <w:tcBorders>
              <w:top w:val="nil"/>
              <w:left w:val="nil"/>
              <w:bottom w:val="single" w:sz="4" w:space="0" w:color="auto"/>
              <w:right w:val="nil"/>
            </w:tcBorders>
          </w:tcPr>
          <w:p w14:paraId="3A71A330" w14:textId="77777777" w:rsidR="00EA1C80" w:rsidRPr="0071085D" w:rsidRDefault="00EA1C80" w:rsidP="00601620">
            <w:pPr>
              <w:widowControl w:val="0"/>
              <w:spacing w:line="480" w:lineRule="auto"/>
              <w:rPr>
                <w:sz w:val="20"/>
                <w:szCs w:val="20"/>
                <w:lang w:val="en-CA"/>
              </w:rPr>
            </w:pPr>
          </w:p>
        </w:tc>
        <w:tc>
          <w:tcPr>
            <w:tcW w:w="1626" w:type="dxa"/>
            <w:tcBorders>
              <w:top w:val="nil"/>
              <w:left w:val="nil"/>
              <w:bottom w:val="single" w:sz="4" w:space="0" w:color="auto"/>
              <w:right w:val="nil"/>
            </w:tcBorders>
          </w:tcPr>
          <w:p w14:paraId="348E2ECC" w14:textId="41E1C147" w:rsidR="00EA1C80" w:rsidRPr="0071085D" w:rsidRDefault="00EA1C80" w:rsidP="00601620">
            <w:pPr>
              <w:widowControl w:val="0"/>
              <w:spacing w:line="480" w:lineRule="auto"/>
              <w:rPr>
                <w:sz w:val="20"/>
                <w:szCs w:val="20"/>
                <w:lang w:val="en-CA"/>
              </w:rPr>
            </w:pPr>
            <w:r w:rsidRPr="0071085D">
              <w:rPr>
                <w:sz w:val="20"/>
                <w:szCs w:val="20"/>
                <w:lang w:val="en-CA"/>
              </w:rPr>
              <w:t>.60 [.24-1.49]</w:t>
            </w:r>
          </w:p>
        </w:tc>
        <w:tc>
          <w:tcPr>
            <w:tcW w:w="1121" w:type="dxa"/>
            <w:tcBorders>
              <w:top w:val="nil"/>
              <w:left w:val="nil"/>
              <w:bottom w:val="single" w:sz="4" w:space="0" w:color="auto"/>
              <w:right w:val="nil"/>
            </w:tcBorders>
          </w:tcPr>
          <w:p w14:paraId="4DA61117" w14:textId="0CC09384" w:rsidR="00EA1C80" w:rsidRPr="0071085D" w:rsidRDefault="00EA1C80" w:rsidP="00601620">
            <w:pPr>
              <w:widowControl w:val="0"/>
              <w:spacing w:line="480" w:lineRule="auto"/>
              <w:rPr>
                <w:sz w:val="20"/>
                <w:szCs w:val="20"/>
                <w:lang w:val="en-CA"/>
              </w:rPr>
            </w:pPr>
            <w:r w:rsidRPr="0071085D">
              <w:rPr>
                <w:sz w:val="20"/>
                <w:szCs w:val="20"/>
                <w:lang w:val="en-CA"/>
              </w:rPr>
              <w:t>n. s.</w:t>
            </w:r>
          </w:p>
        </w:tc>
      </w:tr>
    </w:tbl>
    <w:p w14:paraId="789E79F3" w14:textId="77777777" w:rsidR="001859B7" w:rsidRPr="0071085D" w:rsidRDefault="001859B7" w:rsidP="00601620">
      <w:pPr>
        <w:widowControl w:val="0"/>
        <w:spacing w:after="0" w:line="480" w:lineRule="auto"/>
        <w:ind w:left="-425" w:right="-1357"/>
        <w:rPr>
          <w:i/>
          <w:sz w:val="20"/>
          <w:szCs w:val="20"/>
          <w:lang w:val="en-CA"/>
        </w:rPr>
      </w:pPr>
    </w:p>
    <w:p w14:paraId="05CD6082" w14:textId="574F9B9F" w:rsidR="00F22341" w:rsidRPr="0071085D" w:rsidRDefault="00B33FDA" w:rsidP="00C850A2">
      <w:pPr>
        <w:widowControl w:val="0"/>
        <w:spacing w:after="0" w:line="240" w:lineRule="auto"/>
        <w:ind w:left="-425" w:right="-1355"/>
        <w:rPr>
          <w:sz w:val="20"/>
          <w:szCs w:val="20"/>
          <w:lang w:val="en-CA"/>
        </w:rPr>
      </w:pPr>
      <w:r w:rsidRPr="0071085D">
        <w:rPr>
          <w:i/>
          <w:sz w:val="20"/>
          <w:szCs w:val="20"/>
          <w:lang w:val="en-CA"/>
        </w:rPr>
        <w:t>Note.</w:t>
      </w:r>
      <w:r w:rsidRPr="0071085D">
        <w:rPr>
          <w:sz w:val="20"/>
          <w:szCs w:val="20"/>
          <w:lang w:val="en-CA"/>
        </w:rPr>
        <w:t xml:space="preserve"> The multinomial logistic regression was performed using the automatic R3STEP command implemented in </w:t>
      </w:r>
      <w:proofErr w:type="spellStart"/>
      <w:r w:rsidRPr="0071085D">
        <w:rPr>
          <w:sz w:val="20"/>
          <w:szCs w:val="20"/>
          <w:lang w:val="en-CA"/>
        </w:rPr>
        <w:t>Mplus</w:t>
      </w:r>
      <w:proofErr w:type="spellEnd"/>
      <w:r w:rsidRPr="0071085D">
        <w:rPr>
          <w:sz w:val="20"/>
          <w:szCs w:val="20"/>
          <w:lang w:val="en-CA"/>
        </w:rPr>
        <w:t>.</w:t>
      </w:r>
      <w:r w:rsidRPr="0071085D">
        <w:rPr>
          <w:color w:val="000000"/>
          <w:lang w:val="en-CA"/>
        </w:rPr>
        <w:t xml:space="preserve"> </w:t>
      </w:r>
      <w:r w:rsidRPr="0071085D">
        <w:rPr>
          <w:sz w:val="20"/>
          <w:szCs w:val="20"/>
          <w:lang w:val="en-CA"/>
        </w:rPr>
        <w:t xml:space="preserve">Different reference groups were used to allow </w:t>
      </w:r>
      <w:r w:rsidR="00F22341" w:rsidRPr="0071085D">
        <w:rPr>
          <w:sz w:val="20"/>
          <w:szCs w:val="20"/>
          <w:lang w:val="en-CA"/>
        </w:rPr>
        <w:t>for</w:t>
      </w:r>
    </w:p>
    <w:p w14:paraId="5294FE48" w14:textId="462EACD4" w:rsidR="00114868" w:rsidRPr="0071085D" w:rsidRDefault="00B33FDA" w:rsidP="00C850A2">
      <w:pPr>
        <w:widowControl w:val="0"/>
        <w:spacing w:after="0" w:line="240" w:lineRule="auto"/>
        <w:ind w:left="-425" w:right="-1355"/>
        <w:rPr>
          <w:sz w:val="20"/>
          <w:szCs w:val="20"/>
          <w:lang w:val="en-CA"/>
        </w:rPr>
      </w:pPr>
      <w:r w:rsidRPr="0071085D">
        <w:rPr>
          <w:sz w:val="20"/>
          <w:szCs w:val="20"/>
          <w:lang w:val="en-CA"/>
        </w:rPr>
        <w:t>every possible comparison to be examined. OR = odd ratios. CI = 95% confidence interval. n. s. = non-significant. *p &lt; .05.  **p &lt; .</w:t>
      </w:r>
      <w:proofErr w:type="gramStart"/>
      <w:r w:rsidRPr="0071085D">
        <w:rPr>
          <w:sz w:val="20"/>
          <w:szCs w:val="20"/>
          <w:lang w:val="en-CA"/>
        </w:rPr>
        <w:t>01  *</w:t>
      </w:r>
      <w:proofErr w:type="gramEnd"/>
      <w:r w:rsidRPr="0071085D">
        <w:rPr>
          <w:sz w:val="20"/>
          <w:szCs w:val="20"/>
          <w:lang w:val="en-CA"/>
        </w:rPr>
        <w:t>** p &lt; .001.</w:t>
      </w:r>
    </w:p>
    <w:p w14:paraId="645BCBDA" w14:textId="77777777" w:rsidR="00F22341" w:rsidRPr="0071085D" w:rsidRDefault="00F22341" w:rsidP="00601620">
      <w:pPr>
        <w:widowControl w:val="0"/>
        <w:spacing w:after="0" w:line="480" w:lineRule="auto"/>
        <w:contextualSpacing/>
        <w:rPr>
          <w:i/>
          <w:sz w:val="20"/>
          <w:szCs w:val="20"/>
          <w:lang w:val="en-CA"/>
        </w:rPr>
        <w:sectPr w:rsidR="00F22341" w:rsidRPr="0071085D" w:rsidSect="00E474CD">
          <w:headerReference w:type="first" r:id="rId12"/>
          <w:pgSz w:w="15840" w:h="12240" w:orient="landscape"/>
          <w:pgMar w:top="1440" w:right="1440" w:bottom="1440" w:left="1440" w:header="709" w:footer="709" w:gutter="0"/>
          <w:cols w:space="708"/>
          <w:titlePg/>
          <w:docGrid w:linePitch="360"/>
        </w:sectPr>
      </w:pPr>
    </w:p>
    <w:tbl>
      <w:tblPr>
        <w:tblStyle w:val="Grilledutableau"/>
        <w:tblW w:w="10353" w:type="dxa"/>
        <w:tblInd w:w="-572" w:type="dxa"/>
        <w:tblLook w:val="04A0" w:firstRow="1" w:lastRow="0" w:firstColumn="1" w:lastColumn="0" w:noHBand="0" w:noVBand="1"/>
      </w:tblPr>
      <w:tblGrid>
        <w:gridCol w:w="2132"/>
        <w:gridCol w:w="992"/>
        <w:gridCol w:w="235"/>
        <w:gridCol w:w="757"/>
        <w:gridCol w:w="992"/>
        <w:gridCol w:w="992"/>
        <w:gridCol w:w="993"/>
        <w:gridCol w:w="2126"/>
        <w:gridCol w:w="1134"/>
      </w:tblGrid>
      <w:tr w:rsidR="00114868" w:rsidRPr="0071085D" w14:paraId="631FD85C" w14:textId="77777777" w:rsidTr="004E0F2A">
        <w:tc>
          <w:tcPr>
            <w:tcW w:w="10353" w:type="dxa"/>
            <w:gridSpan w:val="9"/>
            <w:tcBorders>
              <w:top w:val="nil"/>
              <w:left w:val="nil"/>
              <w:bottom w:val="single" w:sz="4" w:space="0" w:color="auto"/>
              <w:right w:val="nil"/>
            </w:tcBorders>
          </w:tcPr>
          <w:p w14:paraId="3E3AE1AE" w14:textId="2412127B" w:rsidR="00114868" w:rsidRPr="0071085D" w:rsidRDefault="00114868" w:rsidP="00601620">
            <w:pPr>
              <w:widowControl w:val="0"/>
              <w:spacing w:line="480" w:lineRule="auto"/>
              <w:contextualSpacing/>
              <w:rPr>
                <w:i/>
                <w:sz w:val="20"/>
                <w:szCs w:val="20"/>
                <w:lang w:val="en-CA"/>
              </w:rPr>
            </w:pPr>
            <w:r w:rsidRPr="0071085D">
              <w:rPr>
                <w:i/>
                <w:sz w:val="20"/>
                <w:szCs w:val="20"/>
                <w:lang w:val="en-CA"/>
              </w:rPr>
              <w:lastRenderedPageBreak/>
              <w:t>Table 5</w:t>
            </w:r>
          </w:p>
          <w:p w14:paraId="55C43486" w14:textId="2E814078" w:rsidR="00114868" w:rsidRPr="0071085D" w:rsidRDefault="00114868" w:rsidP="0090573F">
            <w:pPr>
              <w:widowControl w:val="0"/>
              <w:spacing w:line="480" w:lineRule="auto"/>
              <w:contextualSpacing/>
              <w:rPr>
                <w:i/>
                <w:sz w:val="20"/>
                <w:szCs w:val="20"/>
                <w:lang w:val="en-CA"/>
              </w:rPr>
            </w:pPr>
            <w:r w:rsidRPr="0071085D">
              <w:rPr>
                <w:i/>
                <w:sz w:val="20"/>
                <w:szCs w:val="20"/>
                <w:lang w:val="en-CA"/>
              </w:rPr>
              <w:t>Means, Standard Deviations</w:t>
            </w:r>
            <w:r w:rsidR="00BE58D8" w:rsidRPr="0071085D">
              <w:rPr>
                <w:i/>
                <w:sz w:val="20"/>
                <w:szCs w:val="20"/>
                <w:lang w:val="en-CA"/>
              </w:rPr>
              <w:t>, Standard Errors,</w:t>
            </w:r>
            <w:r w:rsidRPr="0071085D">
              <w:rPr>
                <w:i/>
                <w:sz w:val="20"/>
                <w:szCs w:val="20"/>
                <w:lang w:val="en-CA"/>
              </w:rPr>
              <w:t xml:space="preserve"> Proportions and Group Comparisons for Outcomes of Risk</w:t>
            </w:r>
            <w:r w:rsidR="0090573F" w:rsidRPr="0071085D">
              <w:rPr>
                <w:i/>
                <w:sz w:val="20"/>
                <w:szCs w:val="20"/>
                <w:lang w:val="en-CA"/>
              </w:rPr>
              <w:t>-Taking</w:t>
            </w:r>
            <w:r w:rsidRPr="0071085D">
              <w:rPr>
                <w:i/>
                <w:sz w:val="20"/>
                <w:szCs w:val="20"/>
                <w:lang w:val="en-CA"/>
              </w:rPr>
              <w:t xml:space="preserve"> Behaviors by Risk-Taking Latent Classes</w:t>
            </w:r>
          </w:p>
        </w:tc>
      </w:tr>
      <w:tr w:rsidR="00114868" w:rsidRPr="0071085D" w14:paraId="59529C09" w14:textId="77777777" w:rsidTr="004E0F2A">
        <w:trPr>
          <w:trHeight w:val="605"/>
        </w:trPr>
        <w:tc>
          <w:tcPr>
            <w:tcW w:w="2132" w:type="dxa"/>
            <w:tcBorders>
              <w:top w:val="single" w:sz="4" w:space="0" w:color="auto"/>
              <w:left w:val="nil"/>
              <w:bottom w:val="single" w:sz="4" w:space="0" w:color="auto"/>
              <w:right w:val="nil"/>
            </w:tcBorders>
          </w:tcPr>
          <w:p w14:paraId="6566134B" w14:textId="77777777" w:rsidR="00114868" w:rsidRPr="0071085D" w:rsidRDefault="00114868" w:rsidP="00601620">
            <w:pPr>
              <w:widowControl w:val="0"/>
              <w:spacing w:line="480" w:lineRule="auto"/>
              <w:rPr>
                <w:sz w:val="20"/>
                <w:szCs w:val="20"/>
                <w:lang w:val="en-CA"/>
              </w:rPr>
            </w:pPr>
            <w:r w:rsidRPr="0071085D">
              <w:rPr>
                <w:i/>
                <w:sz w:val="20"/>
                <w:szCs w:val="20"/>
                <w:lang w:val="en-CA"/>
              </w:rPr>
              <w:t xml:space="preserve">Outcomes </w:t>
            </w:r>
          </w:p>
        </w:tc>
        <w:tc>
          <w:tcPr>
            <w:tcW w:w="1227" w:type="dxa"/>
            <w:gridSpan w:val="2"/>
            <w:tcBorders>
              <w:top w:val="single" w:sz="4" w:space="0" w:color="auto"/>
              <w:left w:val="nil"/>
              <w:bottom w:val="single" w:sz="4" w:space="0" w:color="auto"/>
              <w:right w:val="nil"/>
            </w:tcBorders>
          </w:tcPr>
          <w:p w14:paraId="17FF20DB" w14:textId="42321B56" w:rsidR="00114868" w:rsidRPr="0071085D" w:rsidRDefault="00114868" w:rsidP="00601620">
            <w:pPr>
              <w:widowControl w:val="0"/>
              <w:spacing w:line="480" w:lineRule="auto"/>
              <w:contextualSpacing/>
              <w:rPr>
                <w:sz w:val="20"/>
                <w:szCs w:val="20"/>
                <w:lang w:val="en-CA"/>
              </w:rPr>
            </w:pPr>
            <w:r w:rsidRPr="0071085D">
              <w:rPr>
                <w:sz w:val="20"/>
                <w:szCs w:val="20"/>
                <w:lang w:val="en-CA"/>
              </w:rPr>
              <w:t>% / Mean (S. D.)</w:t>
            </w:r>
          </w:p>
        </w:tc>
        <w:tc>
          <w:tcPr>
            <w:tcW w:w="3734" w:type="dxa"/>
            <w:gridSpan w:val="4"/>
            <w:tcBorders>
              <w:top w:val="single" w:sz="4" w:space="0" w:color="auto"/>
              <w:left w:val="nil"/>
              <w:bottom w:val="single" w:sz="4" w:space="0" w:color="auto"/>
              <w:right w:val="nil"/>
            </w:tcBorders>
          </w:tcPr>
          <w:p w14:paraId="319C27A8" w14:textId="77777777" w:rsidR="00114868" w:rsidRPr="0071085D" w:rsidRDefault="00114868" w:rsidP="00601620">
            <w:pPr>
              <w:widowControl w:val="0"/>
              <w:spacing w:line="480" w:lineRule="auto"/>
              <w:jc w:val="center"/>
              <w:rPr>
                <w:sz w:val="20"/>
                <w:szCs w:val="20"/>
                <w:lang w:val="en-CA"/>
              </w:rPr>
            </w:pPr>
            <w:r w:rsidRPr="0071085D">
              <w:rPr>
                <w:sz w:val="20"/>
                <w:szCs w:val="20"/>
                <w:lang w:val="en-CA"/>
              </w:rPr>
              <w:t>% / Mean (S. E.)</w:t>
            </w:r>
          </w:p>
        </w:tc>
        <w:tc>
          <w:tcPr>
            <w:tcW w:w="2126" w:type="dxa"/>
            <w:tcBorders>
              <w:top w:val="single" w:sz="4" w:space="0" w:color="auto"/>
              <w:left w:val="nil"/>
              <w:bottom w:val="single" w:sz="4" w:space="0" w:color="auto"/>
              <w:right w:val="nil"/>
            </w:tcBorders>
          </w:tcPr>
          <w:p w14:paraId="4EAA376A" w14:textId="77777777" w:rsidR="00114868" w:rsidRPr="0071085D" w:rsidRDefault="00114868" w:rsidP="00601620">
            <w:pPr>
              <w:widowControl w:val="0"/>
              <w:spacing w:line="480" w:lineRule="auto"/>
              <w:ind w:firstLine="174"/>
              <w:rPr>
                <w:sz w:val="20"/>
                <w:szCs w:val="20"/>
                <w:lang w:val="en-CA"/>
              </w:rPr>
            </w:pPr>
            <w:r w:rsidRPr="0071085D">
              <w:rPr>
                <w:sz w:val="20"/>
                <w:szCs w:val="20"/>
                <w:lang w:val="en-CA"/>
              </w:rPr>
              <w:t>Group comparisons</w:t>
            </w:r>
          </w:p>
          <w:p w14:paraId="731CC01C" w14:textId="5165E8A1" w:rsidR="00114868" w:rsidRPr="0071085D" w:rsidRDefault="000B0041" w:rsidP="00601620">
            <w:pPr>
              <w:widowControl w:val="0"/>
              <w:spacing w:line="480" w:lineRule="auto"/>
              <w:ind w:firstLine="174"/>
              <w:rPr>
                <w:sz w:val="20"/>
                <w:szCs w:val="20"/>
                <w:lang w:val="en-CA"/>
              </w:rPr>
            </w:pPr>
            <w:r w:rsidRPr="0071085D">
              <w:rPr>
                <w:lang w:val="en-CA"/>
              </w:rPr>
              <w:t>χ</w:t>
            </w:r>
            <w:r w:rsidR="00114868" w:rsidRPr="0071085D">
              <w:rPr>
                <w:sz w:val="20"/>
                <w:szCs w:val="20"/>
                <w:vertAlign w:val="superscript"/>
                <w:lang w:val="en-CA"/>
              </w:rPr>
              <w:t>2</w:t>
            </w:r>
            <w:r w:rsidR="00114868" w:rsidRPr="0071085D">
              <w:rPr>
                <w:sz w:val="20"/>
                <w:szCs w:val="20"/>
                <w:lang w:val="en-CA"/>
              </w:rPr>
              <w:t xml:space="preserve"> (</w:t>
            </w:r>
            <w:proofErr w:type="spellStart"/>
            <w:r w:rsidR="00114868" w:rsidRPr="0071085D">
              <w:rPr>
                <w:i/>
                <w:sz w:val="20"/>
                <w:szCs w:val="20"/>
                <w:lang w:val="en-CA"/>
              </w:rPr>
              <w:t>df</w:t>
            </w:r>
            <w:proofErr w:type="spellEnd"/>
            <w:r w:rsidR="00114868" w:rsidRPr="0071085D">
              <w:rPr>
                <w:sz w:val="20"/>
                <w:szCs w:val="20"/>
                <w:lang w:val="en-CA"/>
              </w:rPr>
              <w:t xml:space="preserve">, </w:t>
            </w:r>
            <w:proofErr w:type="gramStart"/>
            <w:r w:rsidR="00114868" w:rsidRPr="0071085D">
              <w:rPr>
                <w:sz w:val="20"/>
                <w:szCs w:val="20"/>
                <w:lang w:val="en-CA"/>
              </w:rPr>
              <w:t>n)</w:t>
            </w:r>
            <w:proofErr w:type="spellStart"/>
            <w:r w:rsidR="00114868" w:rsidRPr="0071085D">
              <w:rPr>
                <w:sz w:val="20"/>
                <w:szCs w:val="20"/>
                <w:vertAlign w:val="superscript"/>
                <w:lang w:val="en-CA"/>
              </w:rPr>
              <w:t>i</w:t>
            </w:r>
            <w:proofErr w:type="spellEnd"/>
            <w:proofErr w:type="gramEnd"/>
          </w:p>
        </w:tc>
        <w:tc>
          <w:tcPr>
            <w:tcW w:w="1134" w:type="dxa"/>
            <w:tcBorders>
              <w:top w:val="single" w:sz="4" w:space="0" w:color="auto"/>
              <w:left w:val="nil"/>
              <w:bottom w:val="single" w:sz="4" w:space="0" w:color="auto"/>
              <w:right w:val="nil"/>
            </w:tcBorders>
          </w:tcPr>
          <w:p w14:paraId="3102F3E0" w14:textId="77777777" w:rsidR="00114868" w:rsidRPr="0071085D" w:rsidRDefault="00114868" w:rsidP="00601620">
            <w:pPr>
              <w:widowControl w:val="0"/>
              <w:spacing w:line="480" w:lineRule="auto"/>
              <w:rPr>
                <w:sz w:val="20"/>
                <w:szCs w:val="20"/>
                <w:lang w:val="en-CA"/>
              </w:rPr>
            </w:pPr>
            <w:r w:rsidRPr="0071085D">
              <w:rPr>
                <w:sz w:val="20"/>
                <w:szCs w:val="20"/>
                <w:lang w:val="en-CA"/>
              </w:rPr>
              <w:t xml:space="preserve">Post </w:t>
            </w:r>
            <w:proofErr w:type="spellStart"/>
            <w:r w:rsidRPr="0071085D">
              <w:rPr>
                <w:sz w:val="20"/>
                <w:szCs w:val="20"/>
                <w:lang w:val="en-CA"/>
              </w:rPr>
              <w:t>hoc</w:t>
            </w:r>
            <w:r w:rsidRPr="0071085D">
              <w:rPr>
                <w:sz w:val="20"/>
                <w:szCs w:val="20"/>
                <w:vertAlign w:val="superscript"/>
                <w:lang w:val="en-CA"/>
              </w:rPr>
              <w:t>i</w:t>
            </w:r>
            <w:proofErr w:type="spellEnd"/>
          </w:p>
        </w:tc>
      </w:tr>
      <w:tr w:rsidR="00F22341" w:rsidRPr="0071085D" w14:paraId="5317D3AE" w14:textId="77777777" w:rsidTr="004E0F2A">
        <w:tc>
          <w:tcPr>
            <w:tcW w:w="2132" w:type="dxa"/>
            <w:tcBorders>
              <w:top w:val="single" w:sz="4" w:space="0" w:color="auto"/>
              <w:left w:val="nil"/>
              <w:bottom w:val="nil"/>
              <w:right w:val="nil"/>
            </w:tcBorders>
          </w:tcPr>
          <w:p w14:paraId="5138DFEF" w14:textId="77777777" w:rsidR="00F22341" w:rsidRPr="0071085D" w:rsidRDefault="00F22341" w:rsidP="00601620">
            <w:pPr>
              <w:widowControl w:val="0"/>
              <w:spacing w:line="480" w:lineRule="auto"/>
              <w:rPr>
                <w:sz w:val="20"/>
                <w:szCs w:val="20"/>
                <w:lang w:val="en-CA"/>
              </w:rPr>
            </w:pPr>
          </w:p>
        </w:tc>
        <w:tc>
          <w:tcPr>
            <w:tcW w:w="992" w:type="dxa"/>
            <w:tcBorders>
              <w:top w:val="single" w:sz="4" w:space="0" w:color="auto"/>
              <w:left w:val="nil"/>
              <w:bottom w:val="single" w:sz="4" w:space="0" w:color="auto"/>
              <w:right w:val="nil"/>
            </w:tcBorders>
          </w:tcPr>
          <w:p w14:paraId="0DF3A56D" w14:textId="77777777" w:rsidR="00F22341" w:rsidRPr="0071085D" w:rsidRDefault="00F22341" w:rsidP="00601620">
            <w:pPr>
              <w:widowControl w:val="0"/>
              <w:spacing w:line="480" w:lineRule="auto"/>
              <w:rPr>
                <w:sz w:val="20"/>
                <w:szCs w:val="20"/>
                <w:lang w:val="en-CA"/>
              </w:rPr>
            </w:pPr>
            <w:r w:rsidRPr="0071085D">
              <w:rPr>
                <w:sz w:val="20"/>
                <w:szCs w:val="20"/>
                <w:lang w:val="en-CA"/>
              </w:rPr>
              <w:t xml:space="preserve">All </w:t>
            </w:r>
          </w:p>
        </w:tc>
        <w:tc>
          <w:tcPr>
            <w:tcW w:w="992" w:type="dxa"/>
            <w:gridSpan w:val="2"/>
            <w:tcBorders>
              <w:top w:val="single" w:sz="4" w:space="0" w:color="auto"/>
              <w:left w:val="nil"/>
              <w:bottom w:val="single" w:sz="4" w:space="0" w:color="auto"/>
              <w:right w:val="nil"/>
            </w:tcBorders>
          </w:tcPr>
          <w:p w14:paraId="571DF2A8" w14:textId="0167AB47" w:rsidR="00F22341" w:rsidRPr="0071085D" w:rsidRDefault="00F22341" w:rsidP="00601620">
            <w:pPr>
              <w:widowControl w:val="0"/>
              <w:spacing w:line="480" w:lineRule="auto"/>
              <w:rPr>
                <w:sz w:val="20"/>
                <w:szCs w:val="20"/>
                <w:lang w:val="en-CA"/>
              </w:rPr>
            </w:pPr>
            <w:r w:rsidRPr="0071085D">
              <w:rPr>
                <w:sz w:val="20"/>
                <w:szCs w:val="20"/>
                <w:lang w:val="en-CA"/>
              </w:rPr>
              <w:t>Inactive low</w:t>
            </w:r>
          </w:p>
        </w:tc>
        <w:tc>
          <w:tcPr>
            <w:tcW w:w="992" w:type="dxa"/>
            <w:tcBorders>
              <w:top w:val="single" w:sz="4" w:space="0" w:color="auto"/>
              <w:left w:val="nil"/>
              <w:bottom w:val="single" w:sz="4" w:space="0" w:color="auto"/>
              <w:right w:val="nil"/>
            </w:tcBorders>
          </w:tcPr>
          <w:p w14:paraId="32F2E961" w14:textId="77777777" w:rsidR="00F22341" w:rsidRPr="0071085D" w:rsidRDefault="00F22341" w:rsidP="00601620">
            <w:pPr>
              <w:widowControl w:val="0"/>
              <w:spacing w:line="480" w:lineRule="auto"/>
              <w:rPr>
                <w:sz w:val="20"/>
                <w:szCs w:val="20"/>
                <w:lang w:val="en-CA"/>
              </w:rPr>
            </w:pPr>
            <w:r w:rsidRPr="0071085D">
              <w:rPr>
                <w:sz w:val="20"/>
                <w:szCs w:val="20"/>
                <w:lang w:val="en-CA"/>
              </w:rPr>
              <w:t>Active low</w:t>
            </w:r>
          </w:p>
        </w:tc>
        <w:tc>
          <w:tcPr>
            <w:tcW w:w="992" w:type="dxa"/>
            <w:tcBorders>
              <w:top w:val="single" w:sz="4" w:space="0" w:color="auto"/>
              <w:left w:val="nil"/>
              <w:bottom w:val="single" w:sz="4" w:space="0" w:color="auto"/>
              <w:right w:val="nil"/>
            </w:tcBorders>
          </w:tcPr>
          <w:p w14:paraId="2BEFF99E" w14:textId="77777777" w:rsidR="00F22341" w:rsidRPr="0071085D" w:rsidRDefault="00F22341" w:rsidP="00601620">
            <w:pPr>
              <w:widowControl w:val="0"/>
              <w:spacing w:line="480" w:lineRule="auto"/>
              <w:rPr>
                <w:sz w:val="20"/>
                <w:szCs w:val="20"/>
                <w:lang w:val="en-CA"/>
              </w:rPr>
            </w:pPr>
            <w:r w:rsidRPr="0071085D">
              <w:rPr>
                <w:sz w:val="20"/>
                <w:szCs w:val="20"/>
                <w:lang w:val="en-CA"/>
              </w:rPr>
              <w:t>Mid-risk</w:t>
            </w:r>
          </w:p>
        </w:tc>
        <w:tc>
          <w:tcPr>
            <w:tcW w:w="993" w:type="dxa"/>
            <w:tcBorders>
              <w:top w:val="single" w:sz="4" w:space="0" w:color="auto"/>
              <w:left w:val="nil"/>
              <w:bottom w:val="single" w:sz="4" w:space="0" w:color="auto"/>
              <w:right w:val="nil"/>
            </w:tcBorders>
          </w:tcPr>
          <w:p w14:paraId="63E48EEB" w14:textId="77777777" w:rsidR="00F22341" w:rsidRPr="0071085D" w:rsidRDefault="00F22341" w:rsidP="00601620">
            <w:pPr>
              <w:widowControl w:val="0"/>
              <w:spacing w:line="480" w:lineRule="auto"/>
              <w:rPr>
                <w:sz w:val="20"/>
                <w:szCs w:val="20"/>
                <w:lang w:val="en-CA"/>
              </w:rPr>
            </w:pPr>
            <w:r w:rsidRPr="0071085D">
              <w:rPr>
                <w:sz w:val="20"/>
                <w:szCs w:val="20"/>
                <w:lang w:val="en-CA"/>
              </w:rPr>
              <w:t>High-risk</w:t>
            </w:r>
          </w:p>
        </w:tc>
        <w:tc>
          <w:tcPr>
            <w:tcW w:w="3260" w:type="dxa"/>
            <w:gridSpan w:val="2"/>
            <w:tcBorders>
              <w:top w:val="single" w:sz="4" w:space="0" w:color="auto"/>
              <w:left w:val="nil"/>
              <w:bottom w:val="single" w:sz="4" w:space="0" w:color="auto"/>
              <w:right w:val="nil"/>
            </w:tcBorders>
          </w:tcPr>
          <w:p w14:paraId="3047F1E6" w14:textId="04DB15EB" w:rsidR="00F22341" w:rsidRPr="0071085D" w:rsidRDefault="00F22341" w:rsidP="00601620">
            <w:pPr>
              <w:widowControl w:val="0"/>
              <w:spacing w:line="480" w:lineRule="auto"/>
              <w:rPr>
                <w:sz w:val="20"/>
                <w:szCs w:val="20"/>
                <w:lang w:val="en-CA"/>
              </w:rPr>
            </w:pPr>
          </w:p>
        </w:tc>
      </w:tr>
      <w:tr w:rsidR="00114868" w:rsidRPr="0071085D" w14:paraId="0487EEFE" w14:textId="77777777" w:rsidTr="004E0F2A">
        <w:tc>
          <w:tcPr>
            <w:tcW w:w="2132" w:type="dxa"/>
            <w:tcBorders>
              <w:top w:val="single" w:sz="4" w:space="0" w:color="auto"/>
              <w:left w:val="nil"/>
              <w:bottom w:val="nil"/>
              <w:right w:val="nil"/>
            </w:tcBorders>
          </w:tcPr>
          <w:p w14:paraId="54208CDB" w14:textId="77777777" w:rsidR="00114868" w:rsidRPr="0071085D" w:rsidRDefault="00114868" w:rsidP="00601620">
            <w:pPr>
              <w:widowControl w:val="0"/>
              <w:spacing w:line="480" w:lineRule="auto"/>
              <w:rPr>
                <w:sz w:val="20"/>
                <w:szCs w:val="20"/>
                <w:lang w:val="en-CA"/>
              </w:rPr>
            </w:pPr>
            <w:r w:rsidRPr="0071085D">
              <w:rPr>
                <w:sz w:val="20"/>
                <w:szCs w:val="20"/>
                <w:lang w:val="en-CA"/>
              </w:rPr>
              <w:t xml:space="preserve">STI testing (% </w:t>
            </w:r>
            <w:proofErr w:type="gramStart"/>
            <w:r w:rsidRPr="0071085D">
              <w:rPr>
                <w:sz w:val="20"/>
                <w:szCs w:val="20"/>
                <w:lang w:val="en-CA"/>
              </w:rPr>
              <w:t>yes)</w:t>
            </w:r>
            <w:r w:rsidRPr="0071085D">
              <w:rPr>
                <w:sz w:val="20"/>
                <w:szCs w:val="20"/>
                <w:vertAlign w:val="superscript"/>
                <w:lang w:val="en-CA"/>
              </w:rPr>
              <w:t>g</w:t>
            </w:r>
            <w:proofErr w:type="gramEnd"/>
          </w:p>
        </w:tc>
        <w:tc>
          <w:tcPr>
            <w:tcW w:w="992" w:type="dxa"/>
            <w:tcBorders>
              <w:top w:val="single" w:sz="4" w:space="0" w:color="auto"/>
              <w:left w:val="nil"/>
              <w:bottom w:val="single" w:sz="4" w:space="0" w:color="auto"/>
              <w:right w:val="nil"/>
            </w:tcBorders>
          </w:tcPr>
          <w:p w14:paraId="7FC894CE" w14:textId="77777777" w:rsidR="00114868" w:rsidRPr="0071085D" w:rsidRDefault="00114868" w:rsidP="00601620">
            <w:pPr>
              <w:widowControl w:val="0"/>
              <w:spacing w:line="480" w:lineRule="auto"/>
              <w:rPr>
                <w:sz w:val="20"/>
                <w:szCs w:val="20"/>
                <w:lang w:val="en-CA"/>
              </w:rPr>
            </w:pPr>
            <w:r w:rsidRPr="0071085D">
              <w:rPr>
                <w:sz w:val="20"/>
                <w:szCs w:val="20"/>
                <w:lang w:val="en-CA"/>
              </w:rPr>
              <w:t>59.8</w:t>
            </w:r>
          </w:p>
        </w:tc>
        <w:tc>
          <w:tcPr>
            <w:tcW w:w="992" w:type="dxa"/>
            <w:gridSpan w:val="2"/>
            <w:tcBorders>
              <w:top w:val="single" w:sz="4" w:space="0" w:color="auto"/>
              <w:left w:val="nil"/>
              <w:bottom w:val="single" w:sz="4" w:space="0" w:color="auto"/>
              <w:right w:val="nil"/>
            </w:tcBorders>
          </w:tcPr>
          <w:p w14:paraId="4D01AE94" w14:textId="77777777" w:rsidR="00114868" w:rsidRPr="0071085D" w:rsidRDefault="00114868" w:rsidP="00601620">
            <w:pPr>
              <w:widowControl w:val="0"/>
              <w:spacing w:line="480" w:lineRule="auto"/>
              <w:rPr>
                <w:sz w:val="20"/>
                <w:szCs w:val="20"/>
                <w:lang w:val="en-CA"/>
              </w:rPr>
            </w:pPr>
            <w:r w:rsidRPr="0071085D">
              <w:rPr>
                <w:sz w:val="20"/>
                <w:szCs w:val="20"/>
                <w:lang w:val="en-CA"/>
              </w:rPr>
              <w:t>0.0</w:t>
            </w:r>
          </w:p>
        </w:tc>
        <w:tc>
          <w:tcPr>
            <w:tcW w:w="992" w:type="dxa"/>
            <w:tcBorders>
              <w:top w:val="single" w:sz="4" w:space="0" w:color="auto"/>
              <w:left w:val="nil"/>
              <w:bottom w:val="single" w:sz="4" w:space="0" w:color="auto"/>
              <w:right w:val="nil"/>
            </w:tcBorders>
          </w:tcPr>
          <w:p w14:paraId="54933476" w14:textId="77777777" w:rsidR="00114868" w:rsidRPr="0071085D" w:rsidRDefault="00114868" w:rsidP="00601620">
            <w:pPr>
              <w:widowControl w:val="0"/>
              <w:spacing w:line="480" w:lineRule="auto"/>
              <w:rPr>
                <w:sz w:val="20"/>
                <w:szCs w:val="20"/>
                <w:lang w:val="en-CA"/>
              </w:rPr>
            </w:pPr>
            <w:r w:rsidRPr="0071085D">
              <w:rPr>
                <w:sz w:val="20"/>
                <w:szCs w:val="20"/>
                <w:lang w:val="en-CA"/>
              </w:rPr>
              <w:t>48.8</w:t>
            </w:r>
          </w:p>
        </w:tc>
        <w:tc>
          <w:tcPr>
            <w:tcW w:w="992" w:type="dxa"/>
            <w:tcBorders>
              <w:top w:val="single" w:sz="4" w:space="0" w:color="auto"/>
              <w:left w:val="nil"/>
              <w:bottom w:val="single" w:sz="4" w:space="0" w:color="auto"/>
              <w:right w:val="nil"/>
            </w:tcBorders>
          </w:tcPr>
          <w:p w14:paraId="2E5084C2" w14:textId="77777777" w:rsidR="00114868" w:rsidRPr="0071085D" w:rsidRDefault="00114868" w:rsidP="00601620">
            <w:pPr>
              <w:widowControl w:val="0"/>
              <w:spacing w:line="480" w:lineRule="auto"/>
              <w:rPr>
                <w:sz w:val="20"/>
                <w:szCs w:val="20"/>
                <w:lang w:val="en-CA"/>
              </w:rPr>
            </w:pPr>
            <w:r w:rsidRPr="0071085D">
              <w:rPr>
                <w:sz w:val="20"/>
                <w:szCs w:val="20"/>
                <w:lang w:val="en-CA"/>
              </w:rPr>
              <w:t>79.7</w:t>
            </w:r>
          </w:p>
        </w:tc>
        <w:tc>
          <w:tcPr>
            <w:tcW w:w="993" w:type="dxa"/>
            <w:tcBorders>
              <w:top w:val="single" w:sz="4" w:space="0" w:color="auto"/>
              <w:left w:val="nil"/>
              <w:bottom w:val="single" w:sz="4" w:space="0" w:color="auto"/>
              <w:right w:val="nil"/>
            </w:tcBorders>
          </w:tcPr>
          <w:p w14:paraId="6201E3E9" w14:textId="77777777" w:rsidR="00114868" w:rsidRPr="0071085D" w:rsidRDefault="00114868" w:rsidP="00601620">
            <w:pPr>
              <w:widowControl w:val="0"/>
              <w:spacing w:line="480" w:lineRule="auto"/>
              <w:rPr>
                <w:sz w:val="20"/>
                <w:szCs w:val="20"/>
                <w:lang w:val="en-CA"/>
              </w:rPr>
            </w:pPr>
            <w:r w:rsidRPr="0071085D">
              <w:rPr>
                <w:sz w:val="20"/>
                <w:szCs w:val="20"/>
                <w:lang w:val="en-CA"/>
              </w:rPr>
              <w:t>93.3</w:t>
            </w:r>
          </w:p>
        </w:tc>
        <w:tc>
          <w:tcPr>
            <w:tcW w:w="2126" w:type="dxa"/>
            <w:tcBorders>
              <w:top w:val="single" w:sz="4" w:space="0" w:color="auto"/>
              <w:left w:val="nil"/>
              <w:bottom w:val="single" w:sz="4" w:space="0" w:color="auto"/>
              <w:right w:val="nil"/>
            </w:tcBorders>
          </w:tcPr>
          <w:p w14:paraId="7D914EE3" w14:textId="7872B6AB" w:rsidR="00114868" w:rsidRPr="0071085D" w:rsidRDefault="000B0041" w:rsidP="00601620">
            <w:pPr>
              <w:widowControl w:val="0"/>
              <w:spacing w:line="480" w:lineRule="auto"/>
              <w:rPr>
                <w:sz w:val="20"/>
                <w:szCs w:val="20"/>
                <w:lang w:val="en-CA"/>
              </w:rPr>
            </w:pPr>
            <w:r w:rsidRPr="0071085D">
              <w:rPr>
                <w:lang w:val="en-CA"/>
              </w:rPr>
              <w:t>χ</w:t>
            </w:r>
            <w:r w:rsidR="00114868" w:rsidRPr="0071085D">
              <w:rPr>
                <w:sz w:val="20"/>
                <w:szCs w:val="20"/>
                <w:vertAlign w:val="superscript"/>
                <w:lang w:val="en-CA"/>
              </w:rPr>
              <w:t>2</w:t>
            </w:r>
            <w:r w:rsidR="00114868" w:rsidRPr="0071085D">
              <w:rPr>
                <w:sz w:val="20"/>
                <w:szCs w:val="20"/>
                <w:lang w:val="en-CA"/>
              </w:rPr>
              <w:t xml:space="preserve"> (3, 602) = 1531.51***</w:t>
            </w:r>
          </w:p>
        </w:tc>
        <w:tc>
          <w:tcPr>
            <w:tcW w:w="1134" w:type="dxa"/>
            <w:tcBorders>
              <w:top w:val="single" w:sz="4" w:space="0" w:color="auto"/>
              <w:left w:val="nil"/>
              <w:bottom w:val="single" w:sz="4" w:space="0" w:color="auto"/>
              <w:right w:val="nil"/>
            </w:tcBorders>
          </w:tcPr>
          <w:p w14:paraId="4A8C5439" w14:textId="3CC7BD58" w:rsidR="00114868" w:rsidRPr="0071085D" w:rsidRDefault="00114868" w:rsidP="00601620">
            <w:pPr>
              <w:widowControl w:val="0"/>
              <w:spacing w:line="480" w:lineRule="auto"/>
              <w:rPr>
                <w:sz w:val="20"/>
                <w:szCs w:val="20"/>
                <w:lang w:val="en-CA"/>
              </w:rPr>
            </w:pPr>
            <w:r w:rsidRPr="0071085D">
              <w:rPr>
                <w:sz w:val="18"/>
                <w:szCs w:val="20"/>
                <w:lang w:val="en-CA"/>
              </w:rPr>
              <w:t xml:space="preserve">a </w:t>
            </w:r>
            <w:r w:rsidRPr="0071085D">
              <w:rPr>
                <w:sz w:val="20"/>
                <w:szCs w:val="20"/>
                <w:lang w:val="en-CA"/>
              </w:rPr>
              <w:t xml:space="preserve">&lt; </w:t>
            </w:r>
            <w:r w:rsidRPr="0071085D">
              <w:rPr>
                <w:sz w:val="18"/>
                <w:szCs w:val="20"/>
                <w:lang w:val="en-CA"/>
              </w:rPr>
              <w:t>b</w:t>
            </w:r>
            <w:r w:rsidRPr="0071085D">
              <w:rPr>
                <w:sz w:val="20"/>
                <w:szCs w:val="20"/>
                <w:lang w:val="en-CA"/>
              </w:rPr>
              <w:t xml:space="preserve"> &lt; c &lt;</w:t>
            </w:r>
            <w:r w:rsidR="004E0F2A" w:rsidRPr="0071085D">
              <w:rPr>
                <w:sz w:val="20"/>
                <w:szCs w:val="20"/>
                <w:lang w:val="en-CA"/>
              </w:rPr>
              <w:t xml:space="preserve"> </w:t>
            </w:r>
            <w:r w:rsidRPr="0071085D">
              <w:rPr>
                <w:sz w:val="20"/>
                <w:szCs w:val="20"/>
                <w:lang w:val="en-CA"/>
              </w:rPr>
              <w:t>d</w:t>
            </w:r>
          </w:p>
        </w:tc>
      </w:tr>
      <w:tr w:rsidR="00114868" w:rsidRPr="0071085D" w14:paraId="2A008FBA" w14:textId="77777777" w:rsidTr="004E0F2A">
        <w:tc>
          <w:tcPr>
            <w:tcW w:w="2132" w:type="dxa"/>
            <w:tcBorders>
              <w:top w:val="nil"/>
              <w:left w:val="nil"/>
              <w:bottom w:val="nil"/>
              <w:right w:val="nil"/>
            </w:tcBorders>
          </w:tcPr>
          <w:p w14:paraId="6DE84968" w14:textId="77777777" w:rsidR="00114868" w:rsidRPr="0071085D" w:rsidRDefault="00114868" w:rsidP="00601620">
            <w:pPr>
              <w:widowControl w:val="0"/>
              <w:spacing w:line="480" w:lineRule="auto"/>
              <w:rPr>
                <w:sz w:val="20"/>
                <w:szCs w:val="20"/>
                <w:lang w:val="en-CA"/>
              </w:rPr>
            </w:pPr>
            <w:r w:rsidRPr="0071085D">
              <w:rPr>
                <w:sz w:val="20"/>
                <w:szCs w:val="20"/>
                <w:lang w:val="en-CA"/>
              </w:rPr>
              <w:t xml:space="preserve">STI diagnosis (% </w:t>
            </w:r>
            <w:proofErr w:type="gramStart"/>
            <w:r w:rsidRPr="0071085D">
              <w:rPr>
                <w:sz w:val="20"/>
                <w:szCs w:val="20"/>
                <w:lang w:val="en-CA"/>
              </w:rPr>
              <w:t>yes)</w:t>
            </w:r>
            <w:r w:rsidRPr="0071085D">
              <w:rPr>
                <w:sz w:val="20"/>
                <w:szCs w:val="20"/>
                <w:vertAlign w:val="superscript"/>
                <w:lang w:val="en-CA"/>
              </w:rPr>
              <w:t>g</w:t>
            </w:r>
            <w:proofErr w:type="gramEnd"/>
          </w:p>
        </w:tc>
        <w:tc>
          <w:tcPr>
            <w:tcW w:w="992" w:type="dxa"/>
            <w:tcBorders>
              <w:top w:val="single" w:sz="4" w:space="0" w:color="auto"/>
              <w:left w:val="nil"/>
              <w:bottom w:val="single" w:sz="4" w:space="0" w:color="auto"/>
              <w:right w:val="nil"/>
            </w:tcBorders>
          </w:tcPr>
          <w:p w14:paraId="03551166" w14:textId="77777777" w:rsidR="00114868" w:rsidRPr="0071085D" w:rsidRDefault="00114868" w:rsidP="00601620">
            <w:pPr>
              <w:widowControl w:val="0"/>
              <w:spacing w:line="480" w:lineRule="auto"/>
              <w:rPr>
                <w:sz w:val="20"/>
                <w:szCs w:val="20"/>
                <w:lang w:val="en-CA"/>
              </w:rPr>
            </w:pPr>
            <w:r w:rsidRPr="0071085D">
              <w:rPr>
                <w:sz w:val="20"/>
                <w:szCs w:val="20"/>
                <w:lang w:val="en-CA"/>
              </w:rPr>
              <w:t>21.9</w:t>
            </w:r>
          </w:p>
        </w:tc>
        <w:tc>
          <w:tcPr>
            <w:tcW w:w="992" w:type="dxa"/>
            <w:gridSpan w:val="2"/>
            <w:tcBorders>
              <w:top w:val="single" w:sz="4" w:space="0" w:color="auto"/>
              <w:left w:val="nil"/>
              <w:bottom w:val="single" w:sz="4" w:space="0" w:color="auto"/>
              <w:right w:val="nil"/>
            </w:tcBorders>
          </w:tcPr>
          <w:p w14:paraId="718917D8" w14:textId="77777777" w:rsidR="00114868" w:rsidRPr="0071085D" w:rsidRDefault="00114868" w:rsidP="00601620">
            <w:pPr>
              <w:widowControl w:val="0"/>
              <w:spacing w:line="480" w:lineRule="auto"/>
              <w:rPr>
                <w:sz w:val="20"/>
                <w:szCs w:val="20"/>
                <w:lang w:val="en-CA"/>
              </w:rPr>
            </w:pPr>
            <w:r w:rsidRPr="0071085D">
              <w:rPr>
                <w:sz w:val="20"/>
                <w:szCs w:val="20"/>
                <w:lang w:val="en-CA"/>
              </w:rPr>
              <w:t>0.0</w:t>
            </w:r>
          </w:p>
        </w:tc>
        <w:tc>
          <w:tcPr>
            <w:tcW w:w="992" w:type="dxa"/>
            <w:tcBorders>
              <w:top w:val="single" w:sz="4" w:space="0" w:color="auto"/>
              <w:left w:val="nil"/>
              <w:bottom w:val="single" w:sz="4" w:space="0" w:color="auto"/>
              <w:right w:val="nil"/>
            </w:tcBorders>
          </w:tcPr>
          <w:p w14:paraId="3364B69A" w14:textId="77777777" w:rsidR="00114868" w:rsidRPr="0071085D" w:rsidRDefault="00114868" w:rsidP="00601620">
            <w:pPr>
              <w:widowControl w:val="0"/>
              <w:spacing w:line="480" w:lineRule="auto"/>
              <w:rPr>
                <w:sz w:val="20"/>
                <w:szCs w:val="20"/>
                <w:lang w:val="en-CA"/>
              </w:rPr>
            </w:pPr>
            <w:r w:rsidRPr="0071085D">
              <w:rPr>
                <w:sz w:val="20"/>
                <w:szCs w:val="20"/>
                <w:lang w:val="en-CA"/>
              </w:rPr>
              <w:t>6.7</w:t>
            </w:r>
          </w:p>
        </w:tc>
        <w:tc>
          <w:tcPr>
            <w:tcW w:w="992" w:type="dxa"/>
            <w:tcBorders>
              <w:top w:val="single" w:sz="4" w:space="0" w:color="auto"/>
              <w:left w:val="nil"/>
              <w:bottom w:val="single" w:sz="4" w:space="0" w:color="auto"/>
              <w:right w:val="nil"/>
            </w:tcBorders>
          </w:tcPr>
          <w:p w14:paraId="39BE098A" w14:textId="77777777" w:rsidR="00114868" w:rsidRPr="0071085D" w:rsidRDefault="00114868" w:rsidP="00601620">
            <w:pPr>
              <w:widowControl w:val="0"/>
              <w:spacing w:line="480" w:lineRule="auto"/>
              <w:rPr>
                <w:sz w:val="20"/>
                <w:szCs w:val="20"/>
                <w:lang w:val="en-CA"/>
              </w:rPr>
            </w:pPr>
            <w:r w:rsidRPr="0071085D">
              <w:rPr>
                <w:sz w:val="20"/>
                <w:szCs w:val="20"/>
                <w:lang w:val="en-CA"/>
              </w:rPr>
              <w:t>21.0</w:t>
            </w:r>
          </w:p>
        </w:tc>
        <w:tc>
          <w:tcPr>
            <w:tcW w:w="993" w:type="dxa"/>
            <w:tcBorders>
              <w:top w:val="single" w:sz="4" w:space="0" w:color="auto"/>
              <w:left w:val="nil"/>
              <w:bottom w:val="single" w:sz="4" w:space="0" w:color="auto"/>
              <w:right w:val="nil"/>
            </w:tcBorders>
          </w:tcPr>
          <w:p w14:paraId="4A80B392" w14:textId="77777777" w:rsidR="00114868" w:rsidRPr="0071085D" w:rsidRDefault="00114868" w:rsidP="00601620">
            <w:pPr>
              <w:widowControl w:val="0"/>
              <w:spacing w:line="480" w:lineRule="auto"/>
              <w:rPr>
                <w:sz w:val="20"/>
                <w:szCs w:val="20"/>
                <w:lang w:val="en-CA"/>
              </w:rPr>
            </w:pPr>
            <w:r w:rsidRPr="0071085D">
              <w:rPr>
                <w:sz w:val="20"/>
                <w:szCs w:val="20"/>
                <w:lang w:val="en-CA"/>
              </w:rPr>
              <w:t>57.6</w:t>
            </w:r>
          </w:p>
        </w:tc>
        <w:tc>
          <w:tcPr>
            <w:tcW w:w="2126" w:type="dxa"/>
            <w:tcBorders>
              <w:top w:val="single" w:sz="4" w:space="0" w:color="auto"/>
              <w:left w:val="nil"/>
              <w:bottom w:val="single" w:sz="4" w:space="0" w:color="auto"/>
              <w:right w:val="nil"/>
            </w:tcBorders>
          </w:tcPr>
          <w:p w14:paraId="4675C9F8" w14:textId="3F1A1129" w:rsidR="00114868" w:rsidRPr="0071085D" w:rsidRDefault="000B0041" w:rsidP="00601620">
            <w:pPr>
              <w:widowControl w:val="0"/>
              <w:spacing w:line="480" w:lineRule="auto"/>
              <w:rPr>
                <w:sz w:val="20"/>
                <w:szCs w:val="20"/>
                <w:lang w:val="en-CA"/>
              </w:rPr>
            </w:pPr>
            <w:r w:rsidRPr="0071085D">
              <w:rPr>
                <w:lang w:val="en-CA"/>
              </w:rPr>
              <w:t>χ</w:t>
            </w:r>
            <w:r w:rsidR="00114868" w:rsidRPr="0071085D">
              <w:rPr>
                <w:sz w:val="20"/>
                <w:szCs w:val="20"/>
                <w:vertAlign w:val="superscript"/>
                <w:lang w:val="en-CA"/>
              </w:rPr>
              <w:t>2</w:t>
            </w:r>
            <w:r w:rsidR="00114868" w:rsidRPr="0071085D">
              <w:rPr>
                <w:sz w:val="20"/>
                <w:szCs w:val="20"/>
                <w:lang w:val="en-CA"/>
              </w:rPr>
              <w:t xml:space="preserve"> (3, 427) = 31.39***</w:t>
            </w:r>
          </w:p>
        </w:tc>
        <w:tc>
          <w:tcPr>
            <w:tcW w:w="1134" w:type="dxa"/>
            <w:tcBorders>
              <w:top w:val="single" w:sz="4" w:space="0" w:color="auto"/>
              <w:left w:val="nil"/>
              <w:bottom w:val="single" w:sz="4" w:space="0" w:color="auto"/>
              <w:right w:val="nil"/>
            </w:tcBorders>
          </w:tcPr>
          <w:p w14:paraId="2FD21872" w14:textId="77777777" w:rsidR="00114868" w:rsidRPr="0071085D" w:rsidRDefault="00114868" w:rsidP="00601620">
            <w:pPr>
              <w:widowControl w:val="0"/>
              <w:spacing w:line="480" w:lineRule="auto"/>
              <w:rPr>
                <w:sz w:val="20"/>
                <w:szCs w:val="20"/>
                <w:lang w:val="en-CA"/>
              </w:rPr>
            </w:pPr>
            <w:r w:rsidRPr="0071085D">
              <w:rPr>
                <w:sz w:val="20"/>
                <w:szCs w:val="20"/>
                <w:lang w:val="en-CA"/>
              </w:rPr>
              <w:t>a &lt; b, c &lt; d</w:t>
            </w:r>
          </w:p>
        </w:tc>
      </w:tr>
      <w:tr w:rsidR="00114868" w:rsidRPr="0071085D" w14:paraId="2CC58A71" w14:textId="77777777" w:rsidTr="004E0F2A">
        <w:tc>
          <w:tcPr>
            <w:tcW w:w="2132" w:type="dxa"/>
            <w:tcBorders>
              <w:top w:val="nil"/>
              <w:left w:val="nil"/>
              <w:right w:val="nil"/>
            </w:tcBorders>
          </w:tcPr>
          <w:p w14:paraId="7296A2E4" w14:textId="77777777" w:rsidR="00114868" w:rsidRPr="0071085D" w:rsidRDefault="00114868" w:rsidP="00601620">
            <w:pPr>
              <w:widowControl w:val="0"/>
              <w:spacing w:line="480" w:lineRule="auto"/>
              <w:rPr>
                <w:sz w:val="20"/>
                <w:szCs w:val="20"/>
                <w:lang w:val="en-CA"/>
              </w:rPr>
            </w:pPr>
            <w:r w:rsidRPr="0071085D">
              <w:rPr>
                <w:sz w:val="20"/>
                <w:szCs w:val="20"/>
                <w:lang w:val="en-CA"/>
              </w:rPr>
              <w:t>Substance use problems [0-3]</w:t>
            </w:r>
            <w:r w:rsidRPr="0071085D">
              <w:rPr>
                <w:sz w:val="20"/>
                <w:szCs w:val="20"/>
                <w:vertAlign w:val="superscript"/>
                <w:lang w:val="en-CA"/>
              </w:rPr>
              <w:t>h</w:t>
            </w:r>
          </w:p>
        </w:tc>
        <w:tc>
          <w:tcPr>
            <w:tcW w:w="992" w:type="dxa"/>
            <w:tcBorders>
              <w:top w:val="single" w:sz="4" w:space="0" w:color="auto"/>
              <w:left w:val="nil"/>
              <w:right w:val="nil"/>
            </w:tcBorders>
          </w:tcPr>
          <w:p w14:paraId="17F3FA3E" w14:textId="77777777" w:rsidR="00114868" w:rsidRPr="0071085D" w:rsidRDefault="00114868" w:rsidP="00601620">
            <w:pPr>
              <w:widowControl w:val="0"/>
              <w:spacing w:line="480" w:lineRule="auto"/>
              <w:rPr>
                <w:sz w:val="20"/>
                <w:szCs w:val="20"/>
                <w:lang w:val="en-CA"/>
              </w:rPr>
            </w:pPr>
            <w:r w:rsidRPr="0071085D">
              <w:rPr>
                <w:sz w:val="20"/>
                <w:szCs w:val="20"/>
                <w:lang w:val="en-CA"/>
              </w:rPr>
              <w:t>.27 (.42)</w:t>
            </w:r>
          </w:p>
        </w:tc>
        <w:tc>
          <w:tcPr>
            <w:tcW w:w="992" w:type="dxa"/>
            <w:gridSpan w:val="2"/>
            <w:tcBorders>
              <w:top w:val="single" w:sz="4" w:space="0" w:color="auto"/>
              <w:left w:val="nil"/>
              <w:right w:val="nil"/>
            </w:tcBorders>
          </w:tcPr>
          <w:p w14:paraId="05D3E848" w14:textId="77777777" w:rsidR="00114868" w:rsidRPr="0071085D" w:rsidRDefault="00114868" w:rsidP="00601620">
            <w:pPr>
              <w:widowControl w:val="0"/>
              <w:spacing w:line="480" w:lineRule="auto"/>
              <w:rPr>
                <w:sz w:val="20"/>
                <w:szCs w:val="20"/>
                <w:lang w:val="en-CA"/>
              </w:rPr>
            </w:pPr>
            <w:r w:rsidRPr="0071085D">
              <w:rPr>
                <w:sz w:val="20"/>
                <w:szCs w:val="20"/>
                <w:lang w:val="en-CA"/>
              </w:rPr>
              <w:t>.16 (.03)</w:t>
            </w:r>
          </w:p>
        </w:tc>
        <w:tc>
          <w:tcPr>
            <w:tcW w:w="992" w:type="dxa"/>
            <w:tcBorders>
              <w:top w:val="single" w:sz="4" w:space="0" w:color="auto"/>
              <w:left w:val="nil"/>
              <w:right w:val="nil"/>
            </w:tcBorders>
          </w:tcPr>
          <w:p w14:paraId="2D82B7C6" w14:textId="77777777" w:rsidR="00114868" w:rsidRPr="0071085D" w:rsidRDefault="00114868" w:rsidP="00601620">
            <w:pPr>
              <w:widowControl w:val="0"/>
              <w:spacing w:line="480" w:lineRule="auto"/>
              <w:rPr>
                <w:sz w:val="20"/>
                <w:szCs w:val="20"/>
                <w:lang w:val="en-CA"/>
              </w:rPr>
            </w:pPr>
            <w:r w:rsidRPr="0071085D">
              <w:rPr>
                <w:sz w:val="20"/>
                <w:szCs w:val="20"/>
                <w:lang w:val="en-CA"/>
              </w:rPr>
              <w:t>.11 (.01)</w:t>
            </w:r>
          </w:p>
        </w:tc>
        <w:tc>
          <w:tcPr>
            <w:tcW w:w="992" w:type="dxa"/>
            <w:tcBorders>
              <w:top w:val="single" w:sz="4" w:space="0" w:color="auto"/>
              <w:left w:val="nil"/>
              <w:right w:val="nil"/>
            </w:tcBorders>
          </w:tcPr>
          <w:p w14:paraId="0AD0E174" w14:textId="77777777" w:rsidR="00114868" w:rsidRPr="0071085D" w:rsidRDefault="00114868" w:rsidP="00601620">
            <w:pPr>
              <w:widowControl w:val="0"/>
              <w:spacing w:line="480" w:lineRule="auto"/>
              <w:rPr>
                <w:sz w:val="20"/>
                <w:szCs w:val="20"/>
                <w:lang w:val="en-CA"/>
              </w:rPr>
            </w:pPr>
            <w:r w:rsidRPr="0071085D">
              <w:rPr>
                <w:sz w:val="20"/>
                <w:szCs w:val="20"/>
                <w:lang w:val="en-CA"/>
              </w:rPr>
              <w:t>.36 (.03)</w:t>
            </w:r>
          </w:p>
        </w:tc>
        <w:tc>
          <w:tcPr>
            <w:tcW w:w="993" w:type="dxa"/>
            <w:tcBorders>
              <w:top w:val="single" w:sz="4" w:space="0" w:color="auto"/>
              <w:left w:val="nil"/>
              <w:right w:val="nil"/>
            </w:tcBorders>
          </w:tcPr>
          <w:p w14:paraId="0A65CD4D" w14:textId="77777777" w:rsidR="00114868" w:rsidRPr="0071085D" w:rsidRDefault="00114868" w:rsidP="00601620">
            <w:pPr>
              <w:widowControl w:val="0"/>
              <w:spacing w:line="480" w:lineRule="auto"/>
              <w:rPr>
                <w:sz w:val="20"/>
                <w:szCs w:val="20"/>
                <w:lang w:val="en-CA"/>
              </w:rPr>
            </w:pPr>
            <w:r w:rsidRPr="0071085D">
              <w:rPr>
                <w:sz w:val="20"/>
                <w:szCs w:val="20"/>
                <w:lang w:val="en-CA"/>
              </w:rPr>
              <w:t>.54 (.10)</w:t>
            </w:r>
          </w:p>
        </w:tc>
        <w:tc>
          <w:tcPr>
            <w:tcW w:w="2126" w:type="dxa"/>
            <w:tcBorders>
              <w:top w:val="single" w:sz="4" w:space="0" w:color="auto"/>
              <w:left w:val="nil"/>
              <w:right w:val="nil"/>
            </w:tcBorders>
          </w:tcPr>
          <w:p w14:paraId="7E81B240" w14:textId="345B2B40" w:rsidR="00114868" w:rsidRPr="0071085D" w:rsidRDefault="000B0041" w:rsidP="00601620">
            <w:pPr>
              <w:widowControl w:val="0"/>
              <w:spacing w:line="480" w:lineRule="auto"/>
              <w:rPr>
                <w:sz w:val="20"/>
                <w:szCs w:val="20"/>
                <w:lang w:val="en-CA"/>
              </w:rPr>
            </w:pPr>
            <w:r w:rsidRPr="0071085D">
              <w:rPr>
                <w:lang w:val="en-CA"/>
              </w:rPr>
              <w:t>χ</w:t>
            </w:r>
            <w:r w:rsidR="00114868" w:rsidRPr="0071085D">
              <w:rPr>
                <w:sz w:val="20"/>
                <w:szCs w:val="20"/>
                <w:vertAlign w:val="superscript"/>
                <w:lang w:val="en-CA"/>
              </w:rPr>
              <w:t>2</w:t>
            </w:r>
            <w:r w:rsidR="00114868" w:rsidRPr="0071085D">
              <w:rPr>
                <w:sz w:val="20"/>
                <w:szCs w:val="20"/>
                <w:lang w:val="en-CA"/>
              </w:rPr>
              <w:t xml:space="preserve"> (3, 572) = 58.82***</w:t>
            </w:r>
          </w:p>
        </w:tc>
        <w:tc>
          <w:tcPr>
            <w:tcW w:w="1134" w:type="dxa"/>
            <w:tcBorders>
              <w:top w:val="single" w:sz="4" w:space="0" w:color="auto"/>
              <w:left w:val="nil"/>
              <w:right w:val="nil"/>
            </w:tcBorders>
          </w:tcPr>
          <w:p w14:paraId="50A032B1" w14:textId="77777777" w:rsidR="00114868" w:rsidRPr="0071085D" w:rsidRDefault="00114868" w:rsidP="00601620">
            <w:pPr>
              <w:widowControl w:val="0"/>
              <w:spacing w:line="480" w:lineRule="auto"/>
              <w:rPr>
                <w:sz w:val="20"/>
                <w:szCs w:val="20"/>
                <w:lang w:val="en-CA"/>
              </w:rPr>
            </w:pPr>
            <w:r w:rsidRPr="0071085D">
              <w:rPr>
                <w:sz w:val="20"/>
                <w:szCs w:val="20"/>
                <w:lang w:val="en-CA"/>
              </w:rPr>
              <w:t>a, b &lt; c, d</w:t>
            </w:r>
          </w:p>
        </w:tc>
      </w:tr>
    </w:tbl>
    <w:p w14:paraId="05AA0A3E" w14:textId="77777777" w:rsidR="00114868" w:rsidRPr="0071085D" w:rsidRDefault="00114868" w:rsidP="00601620">
      <w:pPr>
        <w:widowControl w:val="0"/>
        <w:spacing w:after="0" w:line="480" w:lineRule="auto"/>
        <w:ind w:left="-567" w:right="-680"/>
        <w:rPr>
          <w:sz w:val="20"/>
          <w:szCs w:val="20"/>
          <w:vertAlign w:val="superscript"/>
          <w:lang w:val="en-CA"/>
        </w:rPr>
      </w:pPr>
    </w:p>
    <w:p w14:paraId="55B59DD6" w14:textId="418ACAE8" w:rsidR="00114868" w:rsidRPr="00C138A2" w:rsidRDefault="00114868" w:rsidP="00C850A2">
      <w:pPr>
        <w:widowControl w:val="0"/>
        <w:spacing w:after="0" w:line="240" w:lineRule="auto"/>
        <w:ind w:left="-567" w:right="-680"/>
        <w:rPr>
          <w:sz w:val="20"/>
          <w:szCs w:val="20"/>
          <w:lang w:val="en-CA"/>
        </w:rPr>
      </w:pPr>
      <w:r w:rsidRPr="0071085D">
        <w:rPr>
          <w:i/>
          <w:sz w:val="20"/>
          <w:szCs w:val="20"/>
          <w:lang w:val="en-CA"/>
        </w:rPr>
        <w:t xml:space="preserve">Note. </w:t>
      </w:r>
      <w:r w:rsidRPr="0071085D">
        <w:rPr>
          <w:sz w:val="20"/>
          <w:szCs w:val="20"/>
          <w:vertAlign w:val="superscript"/>
          <w:lang w:val="en-CA"/>
        </w:rPr>
        <w:t xml:space="preserve">g </w:t>
      </w:r>
      <w:r w:rsidRPr="0071085D">
        <w:rPr>
          <w:sz w:val="20"/>
          <w:szCs w:val="20"/>
          <w:lang w:val="en-CA"/>
        </w:rPr>
        <w:t xml:space="preserve">STI testing was asked only to sexually active participants, and STI diagnosis, only to participants who got tested for STI. Due to high % of missing values for the inactive </w:t>
      </w:r>
      <w:proofErr w:type="gramStart"/>
      <w:r w:rsidRPr="0071085D">
        <w:rPr>
          <w:sz w:val="20"/>
          <w:szCs w:val="20"/>
          <w:lang w:val="en-CA"/>
        </w:rPr>
        <w:t>low-risk</w:t>
      </w:r>
      <w:proofErr w:type="gramEnd"/>
      <w:r w:rsidRPr="0071085D">
        <w:rPr>
          <w:sz w:val="20"/>
          <w:szCs w:val="20"/>
          <w:lang w:val="en-CA"/>
        </w:rPr>
        <w:t xml:space="preserve"> (83% and 99% respectively), we imputed that all sexually inactive participants never got tested for STI nor received a STI diagnosis </w:t>
      </w:r>
      <w:proofErr w:type="gramStart"/>
      <w:r w:rsidRPr="0071085D">
        <w:rPr>
          <w:sz w:val="20"/>
          <w:szCs w:val="20"/>
          <w:lang w:val="en-CA"/>
        </w:rPr>
        <w:t>in order to</w:t>
      </w:r>
      <w:proofErr w:type="gramEnd"/>
      <w:r w:rsidRPr="0071085D">
        <w:rPr>
          <w:sz w:val="20"/>
          <w:szCs w:val="20"/>
          <w:lang w:val="en-CA"/>
        </w:rPr>
        <w:t xml:space="preserve"> run the test. Test of equality of probabilities across classes was performed using the automatic DCAT command implemented in </w:t>
      </w:r>
      <w:proofErr w:type="spellStart"/>
      <w:r w:rsidRPr="0071085D">
        <w:rPr>
          <w:sz w:val="20"/>
          <w:szCs w:val="20"/>
          <w:lang w:val="en-CA"/>
        </w:rPr>
        <w:t>Mplus</w:t>
      </w:r>
      <w:proofErr w:type="spellEnd"/>
      <w:r w:rsidRPr="0071085D">
        <w:rPr>
          <w:sz w:val="20"/>
          <w:szCs w:val="20"/>
          <w:lang w:val="en-CA"/>
        </w:rPr>
        <w:t xml:space="preserve">. </w:t>
      </w:r>
      <w:r w:rsidRPr="0071085D">
        <w:rPr>
          <w:sz w:val="20"/>
          <w:szCs w:val="20"/>
          <w:vertAlign w:val="superscript"/>
          <w:lang w:val="en-CA"/>
        </w:rPr>
        <w:t>h</w:t>
      </w:r>
      <w:r w:rsidRPr="0071085D">
        <w:rPr>
          <w:sz w:val="20"/>
          <w:szCs w:val="20"/>
          <w:lang w:val="en-CA"/>
        </w:rPr>
        <w:t xml:space="preserve"> Test of equality of means across classes was performed using the automatic BCH command implemented in </w:t>
      </w:r>
      <w:proofErr w:type="spellStart"/>
      <w:r w:rsidRPr="0071085D">
        <w:rPr>
          <w:sz w:val="20"/>
          <w:szCs w:val="20"/>
          <w:lang w:val="en-CA"/>
        </w:rPr>
        <w:t>Mplus</w:t>
      </w:r>
      <w:proofErr w:type="spellEnd"/>
      <w:r w:rsidRPr="0071085D">
        <w:rPr>
          <w:sz w:val="20"/>
          <w:szCs w:val="20"/>
          <w:lang w:val="en-CA"/>
        </w:rPr>
        <w:t xml:space="preserve">. </w:t>
      </w:r>
      <w:proofErr w:type="spellStart"/>
      <w:r w:rsidRPr="0071085D">
        <w:rPr>
          <w:sz w:val="20"/>
          <w:szCs w:val="20"/>
          <w:vertAlign w:val="superscript"/>
          <w:lang w:val="en-CA"/>
        </w:rPr>
        <w:t>i</w:t>
      </w:r>
      <w:proofErr w:type="spellEnd"/>
      <w:r w:rsidRPr="0071085D">
        <w:rPr>
          <w:sz w:val="20"/>
          <w:szCs w:val="20"/>
          <w:lang w:val="en-CA"/>
        </w:rPr>
        <w:t xml:space="preserve"> A Bonferroni </w:t>
      </w:r>
      <w:r w:rsidRPr="0071085D">
        <w:rPr>
          <w:i/>
          <w:sz w:val="20"/>
          <w:szCs w:val="20"/>
          <w:lang w:val="en-CA"/>
        </w:rPr>
        <w:t>p</w:t>
      </w:r>
      <w:r w:rsidRPr="0071085D">
        <w:rPr>
          <w:sz w:val="20"/>
          <w:szCs w:val="20"/>
          <w:lang w:val="en-CA"/>
        </w:rPr>
        <w:t>-value correction was used to establish statistical significance while adjusting for multiple comparisons. ***</w:t>
      </w:r>
      <w:r w:rsidRPr="0071085D">
        <w:rPr>
          <w:i/>
          <w:sz w:val="20"/>
          <w:szCs w:val="20"/>
          <w:lang w:val="en-CA"/>
        </w:rPr>
        <w:t xml:space="preserve"> p </w:t>
      </w:r>
      <w:r w:rsidRPr="0071085D">
        <w:rPr>
          <w:sz w:val="20"/>
          <w:szCs w:val="20"/>
          <w:lang w:val="en-CA"/>
        </w:rPr>
        <w:t>&lt; .0002 (0.001/6 pairwise comparisons).</w:t>
      </w:r>
    </w:p>
    <w:sectPr w:rsidR="00114868" w:rsidRPr="00C138A2" w:rsidSect="00C850A2">
      <w:headerReference w:type="first" r:id="rId13"/>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55BA" w14:textId="77777777" w:rsidR="00685D57" w:rsidRDefault="00685D57" w:rsidP="00FC3A50">
      <w:pPr>
        <w:spacing w:after="0" w:line="240" w:lineRule="auto"/>
      </w:pPr>
      <w:r>
        <w:separator/>
      </w:r>
    </w:p>
  </w:endnote>
  <w:endnote w:type="continuationSeparator" w:id="0">
    <w:p w14:paraId="59A3D2A4" w14:textId="77777777" w:rsidR="00685D57" w:rsidRDefault="00685D57" w:rsidP="00FC3A50">
      <w:pPr>
        <w:spacing w:after="0" w:line="240" w:lineRule="auto"/>
      </w:pPr>
      <w:r>
        <w:continuationSeparator/>
      </w:r>
    </w:p>
  </w:endnote>
  <w:endnote w:type="continuationNotice" w:id="1">
    <w:p w14:paraId="08BB27F8" w14:textId="77777777" w:rsidR="00685D57" w:rsidRDefault="00685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Yu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708E" w14:textId="77777777" w:rsidR="00685D57" w:rsidRDefault="00685D57" w:rsidP="00FC3A50">
      <w:pPr>
        <w:spacing w:after="0" w:line="240" w:lineRule="auto"/>
      </w:pPr>
      <w:r>
        <w:separator/>
      </w:r>
    </w:p>
  </w:footnote>
  <w:footnote w:type="continuationSeparator" w:id="0">
    <w:p w14:paraId="645E365A" w14:textId="77777777" w:rsidR="00685D57" w:rsidRDefault="00685D57" w:rsidP="00FC3A50">
      <w:pPr>
        <w:spacing w:after="0" w:line="240" w:lineRule="auto"/>
      </w:pPr>
      <w:r>
        <w:continuationSeparator/>
      </w:r>
    </w:p>
  </w:footnote>
  <w:footnote w:type="continuationNotice" w:id="1">
    <w:p w14:paraId="075D631F" w14:textId="77777777" w:rsidR="00685D57" w:rsidRDefault="00685D57">
      <w:pPr>
        <w:spacing w:after="0" w:line="240" w:lineRule="auto"/>
      </w:pPr>
    </w:p>
  </w:footnote>
  <w:footnote w:id="2">
    <w:p w14:paraId="45BCE5F9" w14:textId="28686DC9" w:rsidR="003A07A0" w:rsidRDefault="003A07A0" w:rsidP="00AB07EE">
      <w:pPr>
        <w:pStyle w:val="Notedebasdepage"/>
        <w:rPr>
          <w:lang w:val="en-CA"/>
        </w:rPr>
      </w:pPr>
      <w:r>
        <w:rPr>
          <w:rStyle w:val="Appelnotedebasdep"/>
        </w:rPr>
        <w:footnoteRef/>
      </w:r>
      <w:r>
        <w:t xml:space="preserve"> </w:t>
      </w:r>
      <w:r>
        <w:rPr>
          <w:lang w:val="en-CA"/>
        </w:rPr>
        <w:t xml:space="preserve">The proportion of </w:t>
      </w:r>
      <w:r w:rsidR="001F645C">
        <w:rPr>
          <w:lang w:val="en-CA"/>
        </w:rPr>
        <w:t>dropouts</w:t>
      </w:r>
      <w:r>
        <w:rPr>
          <w:lang w:val="en-CA"/>
        </w:rPr>
        <w:t xml:space="preserve"> (39.2%) is inferior to what others have found in online surveys of risk-taking </w:t>
      </w:r>
      <w:r w:rsidRPr="00D42C9B">
        <w:rPr>
          <w:lang w:val="en-CA"/>
        </w:rPr>
        <w:t xml:space="preserve">behaviors; for example, the drop-out rate was 47.5% in Jain and Ross’ study (2008). </w:t>
      </w:r>
    </w:p>
    <w:p w14:paraId="19651251" w14:textId="77777777" w:rsidR="00232A7B" w:rsidRPr="00D42C9B" w:rsidRDefault="00232A7B" w:rsidP="00AB07EE">
      <w:pPr>
        <w:pStyle w:val="Notedebasdepage"/>
        <w:rPr>
          <w:lang w:val="en-CA"/>
        </w:rPr>
      </w:pPr>
    </w:p>
  </w:footnote>
  <w:footnote w:id="3">
    <w:p w14:paraId="15D9F5B1" w14:textId="3CA31FD1" w:rsidR="00663EA9" w:rsidRPr="00663EA9" w:rsidRDefault="00663EA9">
      <w:pPr>
        <w:pStyle w:val="Notedebasdepage"/>
        <w:rPr>
          <w:rStyle w:val="cf01"/>
          <w:rFonts w:ascii="Times New Roman" w:hAnsi="Times New Roman" w:cs="Times New Roman"/>
          <w:sz w:val="20"/>
          <w:szCs w:val="20"/>
          <w:lang w:val="en-CA"/>
        </w:rPr>
      </w:pPr>
      <w:r w:rsidRPr="00663EA9">
        <w:rPr>
          <w:rStyle w:val="Appelnotedebasdep"/>
          <w:highlight w:val="green"/>
        </w:rPr>
        <w:footnoteRef/>
      </w:r>
      <w:r w:rsidRPr="00663EA9">
        <w:rPr>
          <w:highlight w:val="green"/>
        </w:rPr>
        <w:t xml:space="preserve"> </w:t>
      </w:r>
      <w:r w:rsidRPr="00663EA9">
        <w:rPr>
          <w:rStyle w:val="cf01"/>
          <w:rFonts w:ascii="Times New Roman" w:hAnsi="Times New Roman" w:cs="Times New Roman"/>
          <w:sz w:val="20"/>
          <w:szCs w:val="20"/>
          <w:highlight w:val="green"/>
          <w:lang w:val="en-CA"/>
        </w:rPr>
        <w:t>Missing data on at-risk indicators were handled with full information maximum likelihood (FIML), a strategy implemented in Mplus in which all available information is used to estimate LCA model. For the correlates and outcomes, we had complete data for all participants for the present study.</w:t>
      </w:r>
    </w:p>
    <w:p w14:paraId="5349432E" w14:textId="77777777" w:rsidR="00663EA9" w:rsidRPr="00663EA9" w:rsidRDefault="00663EA9">
      <w:pPr>
        <w:pStyle w:val="Notedebasdepage"/>
      </w:pPr>
    </w:p>
  </w:footnote>
  <w:footnote w:id="4">
    <w:p w14:paraId="5C6E265B" w14:textId="1B9BA643" w:rsidR="003A07A0" w:rsidRPr="00EF288B" w:rsidRDefault="003A07A0" w:rsidP="00AB7EE6">
      <w:pPr>
        <w:spacing w:after="0" w:line="240" w:lineRule="auto"/>
        <w:contextualSpacing/>
        <w:rPr>
          <w:sz w:val="20"/>
          <w:szCs w:val="20"/>
          <w:lang w:val="en-CA"/>
        </w:rPr>
      </w:pPr>
      <w:r w:rsidRPr="00D42C9B">
        <w:rPr>
          <w:rStyle w:val="Appelnotedebasdep"/>
          <w:sz w:val="20"/>
          <w:szCs w:val="20"/>
        </w:rPr>
        <w:footnoteRef/>
      </w:r>
      <w:r w:rsidRPr="00D42C9B">
        <w:rPr>
          <w:sz w:val="20"/>
          <w:szCs w:val="20"/>
          <w:lang w:val="en-CA"/>
        </w:rPr>
        <w:t xml:space="preserve"> Previous studies </w:t>
      </w:r>
      <w:r w:rsidRPr="00EF288B">
        <w:rPr>
          <w:sz w:val="20"/>
          <w:szCs w:val="20"/>
          <w:lang w:val="en-CA"/>
        </w:rPr>
        <w:t>have shown that heterosexual emerging adults are less likely to consider oral sex and mutual masturbation than penile-vaginal intercourse as sex (Sanders &amp; Reinisch, 1999). As such, using sexual experiences like mutual masturbation or oral sex as alternative</w:t>
      </w:r>
      <w:r>
        <w:rPr>
          <w:sz w:val="20"/>
          <w:szCs w:val="20"/>
          <w:lang w:val="en-CA"/>
        </w:rPr>
        <w:t>s</w:t>
      </w:r>
      <w:r w:rsidRPr="00EF288B">
        <w:rPr>
          <w:sz w:val="20"/>
          <w:szCs w:val="20"/>
          <w:lang w:val="en-CA"/>
        </w:rPr>
        <w:t xml:space="preserve"> to intercourse </w:t>
      </w:r>
      <w:r>
        <w:rPr>
          <w:sz w:val="20"/>
          <w:szCs w:val="20"/>
          <w:lang w:val="en-CA"/>
        </w:rPr>
        <w:t>for</w:t>
      </w:r>
      <w:r w:rsidRPr="00EF288B">
        <w:rPr>
          <w:sz w:val="20"/>
          <w:szCs w:val="20"/>
          <w:lang w:val="en-CA"/>
        </w:rPr>
        <w:t xml:space="preserve"> determining age at sexual onset and number of sexual partners for </w:t>
      </w:r>
      <w:r w:rsidR="00AF3075">
        <w:rPr>
          <w:sz w:val="20"/>
          <w:szCs w:val="20"/>
          <w:lang w:val="en-CA"/>
        </w:rPr>
        <w:t xml:space="preserve">LGB and asexual </w:t>
      </w:r>
      <w:r>
        <w:rPr>
          <w:sz w:val="20"/>
          <w:szCs w:val="20"/>
          <w:lang w:val="en-CA"/>
        </w:rPr>
        <w:t xml:space="preserve">participants </w:t>
      </w:r>
      <w:r w:rsidRPr="00EF288B">
        <w:rPr>
          <w:sz w:val="20"/>
          <w:szCs w:val="20"/>
          <w:lang w:val="en-CA"/>
        </w:rPr>
        <w:t xml:space="preserve">could have inflated their </w:t>
      </w:r>
      <w:r>
        <w:rPr>
          <w:sz w:val="20"/>
          <w:szCs w:val="20"/>
          <w:lang w:val="en-CA"/>
        </w:rPr>
        <w:t xml:space="preserve">sexual </w:t>
      </w:r>
      <w:r w:rsidR="0090573F">
        <w:rPr>
          <w:sz w:val="20"/>
          <w:szCs w:val="20"/>
          <w:lang w:val="en-CA"/>
        </w:rPr>
        <w:t xml:space="preserve">risk-taking </w:t>
      </w:r>
      <w:r w:rsidRPr="00EF288B">
        <w:rPr>
          <w:sz w:val="20"/>
          <w:szCs w:val="20"/>
          <w:lang w:val="en-CA"/>
        </w:rPr>
        <w:t xml:space="preserve">scores and created artificial (or exaggerated) differences with heterosexual participants. </w:t>
      </w:r>
    </w:p>
  </w:footnote>
  <w:footnote w:id="5">
    <w:p w14:paraId="744B0BAF" w14:textId="77777777" w:rsidR="00C80A59" w:rsidRPr="00C80A59" w:rsidRDefault="00232A7B" w:rsidP="00C80A59">
      <w:pPr>
        <w:autoSpaceDE w:val="0"/>
        <w:autoSpaceDN w:val="0"/>
        <w:adjustRightInd w:val="0"/>
        <w:spacing w:after="0" w:line="240" w:lineRule="auto"/>
        <w:rPr>
          <w:sz w:val="20"/>
          <w:szCs w:val="20"/>
          <w:lang w:val="en-CA"/>
        </w:rPr>
      </w:pPr>
      <w:r w:rsidRPr="00C80A59">
        <w:rPr>
          <w:rStyle w:val="Appelnotedebasdep"/>
          <w:sz w:val="20"/>
          <w:szCs w:val="20"/>
        </w:rPr>
        <w:footnoteRef/>
      </w:r>
      <w:r w:rsidRPr="00C80A59">
        <w:rPr>
          <w:sz w:val="20"/>
          <w:szCs w:val="20"/>
          <w:lang w:val="en-CA"/>
        </w:rPr>
        <w:t xml:space="preserve"> </w:t>
      </w:r>
      <w:r w:rsidR="00704D7F" w:rsidRPr="00C80A59">
        <w:rPr>
          <w:sz w:val="20"/>
          <w:szCs w:val="20"/>
          <w:lang w:val="en-CA"/>
        </w:rPr>
        <w:t xml:space="preserve">Early transition into sexual activity was operationalized as the difference between the reported age at first intercourse and the lower bound of the average age at first intercourse (i.e., 16 years old). </w:t>
      </w:r>
      <w:r w:rsidR="00C80A59" w:rsidRPr="00C80A59">
        <w:rPr>
          <w:sz w:val="20"/>
          <w:szCs w:val="20"/>
          <w:lang w:val="en-CA"/>
        </w:rPr>
        <w:t>This quantification in</w:t>
      </w:r>
    </w:p>
    <w:p w14:paraId="17602D3F" w14:textId="3296809E" w:rsidR="00232A7B" w:rsidRPr="00232A7B" w:rsidRDefault="00C80A59" w:rsidP="00E4443A">
      <w:pPr>
        <w:pStyle w:val="Notedebasdepage"/>
        <w:rPr>
          <w:lang w:val="en-CA"/>
        </w:rPr>
      </w:pPr>
      <w:r w:rsidRPr="00C80A59">
        <w:t>number of years of desynchronization</w:t>
      </w:r>
      <w:r w:rsidR="00E4443A" w:rsidRPr="00E4443A">
        <w:rPr>
          <w:lang w:val="en-CA"/>
        </w:rPr>
        <w:t xml:space="preserve"> </w:t>
      </w:r>
      <w:r w:rsidR="00E4443A">
        <w:rPr>
          <w:lang w:val="en-CA"/>
        </w:rPr>
        <w:t xml:space="preserve">compared to the norm has been used in previous studies (for example, see: Boislard &amp; Poulin, 2011; Lucas et al.,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749" w14:textId="017483D4" w:rsidR="003A07A0" w:rsidRDefault="003A07A0" w:rsidP="001F645C">
    <w:pPr>
      <w:pStyle w:val="En-tte"/>
      <w:jc w:val="right"/>
    </w:pPr>
    <w:r>
      <w:t>RISK-TAKING PROFILES</w:t>
    </w:r>
    <w:r>
      <w:tab/>
    </w:r>
    <w:r>
      <w:tab/>
    </w:r>
    <w:r>
      <w:tab/>
    </w:r>
    <w:sdt>
      <w:sdtPr>
        <w:id w:val="363248305"/>
        <w:docPartObj>
          <w:docPartGallery w:val="Page Numbers (Top of Page)"/>
          <w:docPartUnique/>
        </w:docPartObj>
      </w:sdtPr>
      <w:sdtContent>
        <w:r>
          <w:fldChar w:fldCharType="begin"/>
        </w:r>
        <w:r>
          <w:instrText>PAGE   \* MERGEFORMAT</w:instrText>
        </w:r>
        <w:r>
          <w:fldChar w:fldCharType="separate"/>
        </w:r>
        <w:r w:rsidR="000C7E56" w:rsidRPr="000C7E56">
          <w:rPr>
            <w:noProof/>
            <w:lang w:val="fr-FR"/>
          </w:rPr>
          <w:t>22</w:t>
        </w:r>
        <w:r>
          <w:fldChar w:fldCharType="end"/>
        </w:r>
      </w:sdtContent>
    </w:sdt>
  </w:p>
  <w:p w14:paraId="187E9E30" w14:textId="30C825D5" w:rsidR="003A07A0" w:rsidRPr="00B45EC0" w:rsidRDefault="003A07A0" w:rsidP="005C0EA5">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040F" w14:textId="371A4859" w:rsidR="003A07A0" w:rsidRDefault="003A07A0">
    <w:pPr>
      <w:pStyle w:val="En-tte"/>
      <w:jc w:val="right"/>
    </w:pPr>
  </w:p>
  <w:p w14:paraId="401E9D33" w14:textId="28CC49AC" w:rsidR="003A07A0" w:rsidRDefault="003A07A0" w:rsidP="009B299F">
    <w:pPr>
      <w:pStyle w:val="En-tte"/>
      <w:tabs>
        <w:tab w:val="left" w:pos="3315"/>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4103" w14:textId="370BBD93" w:rsidR="003A07A0" w:rsidRDefault="003A07A0">
    <w:pPr>
      <w:pStyle w:val="En-tte"/>
      <w:jc w:val="right"/>
    </w:pPr>
    <w:r>
      <w:t>34</w:t>
    </w:r>
  </w:p>
  <w:p w14:paraId="55D0C284" w14:textId="77777777" w:rsidR="003A07A0" w:rsidRDefault="003A07A0" w:rsidP="009B299F">
    <w:pPr>
      <w:pStyle w:val="En-tte"/>
      <w:tabs>
        <w:tab w:val="left" w:pos="3315"/>
      </w:tabs>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CE9" w14:textId="08B1CC2B" w:rsidR="003A07A0" w:rsidRDefault="003A07A0" w:rsidP="00F22341">
    <w:pPr>
      <w:pStyle w:val="En-tte"/>
      <w:tabs>
        <w:tab w:val="left" w:pos="3315"/>
      </w:tabs>
      <w:jc w:val="right"/>
    </w:pPr>
    <w:r>
      <w:t>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2B86" w14:textId="115C88EA" w:rsidR="003A07A0" w:rsidRDefault="003A07A0" w:rsidP="00F22341">
    <w:pPr>
      <w:pStyle w:val="En-tte"/>
      <w:tabs>
        <w:tab w:val="left" w:pos="3315"/>
      </w:tabs>
      <w:jc w:val="right"/>
    </w:pPr>
    <w:r>
      <w:t>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36AB" w14:textId="7FC53E81" w:rsidR="003A07A0" w:rsidRDefault="003A07A0" w:rsidP="00F22341">
    <w:pPr>
      <w:pStyle w:val="En-tte"/>
      <w:tabs>
        <w:tab w:val="left" w:pos="3315"/>
      </w:tabs>
      <w:jc w:val="right"/>
    </w:pPr>
    <w:r>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8B"/>
    <w:multiLevelType w:val="hybridMultilevel"/>
    <w:tmpl w:val="37BC7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7D354A"/>
    <w:multiLevelType w:val="hybridMultilevel"/>
    <w:tmpl w:val="A49EE252"/>
    <w:lvl w:ilvl="0" w:tplc="4B9C02E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FD00C2"/>
    <w:multiLevelType w:val="hybridMultilevel"/>
    <w:tmpl w:val="37FE58FA"/>
    <w:lvl w:ilvl="0" w:tplc="DCC2A3D2">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D139A4"/>
    <w:multiLevelType w:val="hybridMultilevel"/>
    <w:tmpl w:val="6044806A"/>
    <w:lvl w:ilvl="0" w:tplc="B262EB8E">
      <w:start w:val="1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71250E6"/>
    <w:multiLevelType w:val="hybridMultilevel"/>
    <w:tmpl w:val="1C1A9A92"/>
    <w:lvl w:ilvl="0" w:tplc="A7DE7D2A">
      <w:start w:val="93"/>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DC2AE0"/>
    <w:multiLevelType w:val="hybridMultilevel"/>
    <w:tmpl w:val="67A4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27C49"/>
    <w:multiLevelType w:val="multilevel"/>
    <w:tmpl w:val="C33C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A028D"/>
    <w:multiLevelType w:val="hybridMultilevel"/>
    <w:tmpl w:val="FBB62F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81E16B1"/>
    <w:multiLevelType w:val="hybridMultilevel"/>
    <w:tmpl w:val="90D85A9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3CA25A35"/>
    <w:multiLevelType w:val="hybridMultilevel"/>
    <w:tmpl w:val="A49EE252"/>
    <w:lvl w:ilvl="0" w:tplc="4B9C02E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421F49"/>
    <w:multiLevelType w:val="hybridMultilevel"/>
    <w:tmpl w:val="F9BA1396"/>
    <w:lvl w:ilvl="0" w:tplc="0C0C000F">
      <w:start w:val="1"/>
      <w:numFmt w:val="decimal"/>
      <w:lvlText w:val="%1."/>
      <w:lvlJc w:val="left"/>
      <w:pPr>
        <w:ind w:left="720" w:hanging="360"/>
      </w:p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9E51205"/>
    <w:multiLevelType w:val="hybridMultilevel"/>
    <w:tmpl w:val="F9BA1396"/>
    <w:lvl w:ilvl="0" w:tplc="0C0C000F">
      <w:start w:val="1"/>
      <w:numFmt w:val="decimal"/>
      <w:lvlText w:val="%1."/>
      <w:lvlJc w:val="left"/>
      <w:pPr>
        <w:ind w:left="720" w:hanging="360"/>
      </w:p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50977472"/>
    <w:multiLevelType w:val="hybridMultilevel"/>
    <w:tmpl w:val="90D85A9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68A37116"/>
    <w:multiLevelType w:val="hybridMultilevel"/>
    <w:tmpl w:val="67A4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A25E2"/>
    <w:multiLevelType w:val="hybridMultilevel"/>
    <w:tmpl w:val="0F5211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2282B83"/>
    <w:multiLevelType w:val="hybridMultilevel"/>
    <w:tmpl w:val="103409A8"/>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6" w15:restartNumberingAfterBreak="0">
    <w:nsid w:val="7E140D46"/>
    <w:multiLevelType w:val="hybridMultilevel"/>
    <w:tmpl w:val="CFE41062"/>
    <w:lvl w:ilvl="0" w:tplc="0C0C000F">
      <w:start w:val="1"/>
      <w:numFmt w:val="decimal"/>
      <w:lvlText w:val="%1."/>
      <w:lvlJc w:val="left"/>
      <w:pPr>
        <w:ind w:left="720" w:hanging="360"/>
      </w:p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659385354">
    <w:abstractNumId w:val="0"/>
  </w:num>
  <w:num w:numId="2" w16cid:durableId="555168400">
    <w:abstractNumId w:val="14"/>
  </w:num>
  <w:num w:numId="3" w16cid:durableId="1316833997">
    <w:abstractNumId w:val="7"/>
  </w:num>
  <w:num w:numId="4" w16cid:durableId="1765345695">
    <w:abstractNumId w:val="1"/>
  </w:num>
  <w:num w:numId="5" w16cid:durableId="477577616">
    <w:abstractNumId w:val="15"/>
  </w:num>
  <w:num w:numId="6" w16cid:durableId="434137889">
    <w:abstractNumId w:val="4"/>
  </w:num>
  <w:num w:numId="7" w16cid:durableId="1085692467">
    <w:abstractNumId w:val="3"/>
  </w:num>
  <w:num w:numId="8" w16cid:durableId="871459935">
    <w:abstractNumId w:val="6"/>
  </w:num>
  <w:num w:numId="9" w16cid:durableId="1270309251">
    <w:abstractNumId w:val="5"/>
  </w:num>
  <w:num w:numId="10" w16cid:durableId="816650292">
    <w:abstractNumId w:val="9"/>
  </w:num>
  <w:num w:numId="11" w16cid:durableId="1727953181">
    <w:abstractNumId w:val="13"/>
  </w:num>
  <w:num w:numId="12" w16cid:durableId="1159420091">
    <w:abstractNumId w:val="2"/>
  </w:num>
  <w:num w:numId="13" w16cid:durableId="1972514818">
    <w:abstractNumId w:val="16"/>
    <w:lvlOverride w:ilvl="0">
      <w:startOverride w:val="1"/>
    </w:lvlOverride>
    <w:lvlOverride w:ilvl="1"/>
    <w:lvlOverride w:ilvl="2"/>
    <w:lvlOverride w:ilvl="3"/>
    <w:lvlOverride w:ilvl="4"/>
    <w:lvlOverride w:ilvl="5"/>
    <w:lvlOverride w:ilvl="6"/>
    <w:lvlOverride w:ilvl="7"/>
    <w:lvlOverride w:ilvl="8"/>
  </w:num>
  <w:num w:numId="14" w16cid:durableId="307365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2929057">
    <w:abstractNumId w:val="8"/>
  </w:num>
  <w:num w:numId="16" w16cid:durableId="1014187512">
    <w:abstractNumId w:val="10"/>
    <w:lvlOverride w:ilvl="0">
      <w:startOverride w:val="1"/>
    </w:lvlOverride>
    <w:lvlOverride w:ilvl="1"/>
    <w:lvlOverride w:ilvl="2"/>
    <w:lvlOverride w:ilvl="3"/>
    <w:lvlOverride w:ilvl="4"/>
    <w:lvlOverride w:ilvl="5"/>
    <w:lvlOverride w:ilvl="6"/>
    <w:lvlOverride w:ilvl="7"/>
    <w:lvlOverride w:ilvl="8"/>
  </w:num>
  <w:num w:numId="17" w16cid:durableId="106163653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activeWritingStyle w:appName="MSWord" w:lang="en-AU"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FC1"/>
    <w:rsid w:val="00000B4D"/>
    <w:rsid w:val="00002E1A"/>
    <w:rsid w:val="00003B35"/>
    <w:rsid w:val="000040CF"/>
    <w:rsid w:val="00004474"/>
    <w:rsid w:val="00004E63"/>
    <w:rsid w:val="00006213"/>
    <w:rsid w:val="0001036D"/>
    <w:rsid w:val="00011070"/>
    <w:rsid w:val="000114C8"/>
    <w:rsid w:val="00011666"/>
    <w:rsid w:val="000130ED"/>
    <w:rsid w:val="0001364E"/>
    <w:rsid w:val="00013663"/>
    <w:rsid w:val="00013EFC"/>
    <w:rsid w:val="00014244"/>
    <w:rsid w:val="0001444A"/>
    <w:rsid w:val="00015330"/>
    <w:rsid w:val="00015C05"/>
    <w:rsid w:val="00016303"/>
    <w:rsid w:val="00016A68"/>
    <w:rsid w:val="00017016"/>
    <w:rsid w:val="00020276"/>
    <w:rsid w:val="0002085D"/>
    <w:rsid w:val="00020A8F"/>
    <w:rsid w:val="0002135D"/>
    <w:rsid w:val="00021C7A"/>
    <w:rsid w:val="00022E9C"/>
    <w:rsid w:val="00024174"/>
    <w:rsid w:val="000241E1"/>
    <w:rsid w:val="000248C5"/>
    <w:rsid w:val="000256FB"/>
    <w:rsid w:val="00025FC1"/>
    <w:rsid w:val="0002668D"/>
    <w:rsid w:val="0002674A"/>
    <w:rsid w:val="00027004"/>
    <w:rsid w:val="00031801"/>
    <w:rsid w:val="000332AF"/>
    <w:rsid w:val="00033400"/>
    <w:rsid w:val="00033678"/>
    <w:rsid w:val="000337BE"/>
    <w:rsid w:val="00033E6E"/>
    <w:rsid w:val="00034836"/>
    <w:rsid w:val="00035C81"/>
    <w:rsid w:val="0003651D"/>
    <w:rsid w:val="00037988"/>
    <w:rsid w:val="00041163"/>
    <w:rsid w:val="00041D91"/>
    <w:rsid w:val="0004398C"/>
    <w:rsid w:val="00043EA1"/>
    <w:rsid w:val="00044ED7"/>
    <w:rsid w:val="00047917"/>
    <w:rsid w:val="000501E8"/>
    <w:rsid w:val="00050A38"/>
    <w:rsid w:val="00051431"/>
    <w:rsid w:val="00051635"/>
    <w:rsid w:val="00051999"/>
    <w:rsid w:val="00051C11"/>
    <w:rsid w:val="00053596"/>
    <w:rsid w:val="000555B3"/>
    <w:rsid w:val="00055DB9"/>
    <w:rsid w:val="00057061"/>
    <w:rsid w:val="000603B9"/>
    <w:rsid w:val="000617D6"/>
    <w:rsid w:val="00061B39"/>
    <w:rsid w:val="00061B4E"/>
    <w:rsid w:val="00061DAB"/>
    <w:rsid w:val="00062833"/>
    <w:rsid w:val="00063483"/>
    <w:rsid w:val="000640FB"/>
    <w:rsid w:val="0006434F"/>
    <w:rsid w:val="000656D2"/>
    <w:rsid w:val="00067457"/>
    <w:rsid w:val="0006791E"/>
    <w:rsid w:val="00070E72"/>
    <w:rsid w:val="00071099"/>
    <w:rsid w:val="00071B30"/>
    <w:rsid w:val="00071CB2"/>
    <w:rsid w:val="00071D9C"/>
    <w:rsid w:val="00073AC9"/>
    <w:rsid w:val="00075792"/>
    <w:rsid w:val="000778A9"/>
    <w:rsid w:val="000778E4"/>
    <w:rsid w:val="00077CE9"/>
    <w:rsid w:val="00080BA8"/>
    <w:rsid w:val="00081359"/>
    <w:rsid w:val="00081B18"/>
    <w:rsid w:val="00081CCD"/>
    <w:rsid w:val="00082DAC"/>
    <w:rsid w:val="00083916"/>
    <w:rsid w:val="00083FDF"/>
    <w:rsid w:val="00084031"/>
    <w:rsid w:val="000843A0"/>
    <w:rsid w:val="000845D2"/>
    <w:rsid w:val="000846CB"/>
    <w:rsid w:val="00084C90"/>
    <w:rsid w:val="000850A6"/>
    <w:rsid w:val="00085E2C"/>
    <w:rsid w:val="00090316"/>
    <w:rsid w:val="00090F31"/>
    <w:rsid w:val="0009142B"/>
    <w:rsid w:val="00091502"/>
    <w:rsid w:val="00091D69"/>
    <w:rsid w:val="00091E22"/>
    <w:rsid w:val="00091E7C"/>
    <w:rsid w:val="00092071"/>
    <w:rsid w:val="00094007"/>
    <w:rsid w:val="00095937"/>
    <w:rsid w:val="00096638"/>
    <w:rsid w:val="0009693D"/>
    <w:rsid w:val="00096A71"/>
    <w:rsid w:val="0009703B"/>
    <w:rsid w:val="000970A0"/>
    <w:rsid w:val="000977EC"/>
    <w:rsid w:val="000A0724"/>
    <w:rsid w:val="000A1604"/>
    <w:rsid w:val="000A1B92"/>
    <w:rsid w:val="000A20F7"/>
    <w:rsid w:val="000A2458"/>
    <w:rsid w:val="000A2DB8"/>
    <w:rsid w:val="000A3ECC"/>
    <w:rsid w:val="000A5018"/>
    <w:rsid w:val="000A700B"/>
    <w:rsid w:val="000A7412"/>
    <w:rsid w:val="000A7B2E"/>
    <w:rsid w:val="000A7CDB"/>
    <w:rsid w:val="000A7DBA"/>
    <w:rsid w:val="000B0041"/>
    <w:rsid w:val="000B056D"/>
    <w:rsid w:val="000B066F"/>
    <w:rsid w:val="000B0A7C"/>
    <w:rsid w:val="000B1C0C"/>
    <w:rsid w:val="000B21B5"/>
    <w:rsid w:val="000B2976"/>
    <w:rsid w:val="000B31AF"/>
    <w:rsid w:val="000B3586"/>
    <w:rsid w:val="000B3607"/>
    <w:rsid w:val="000B4C9F"/>
    <w:rsid w:val="000B4CA9"/>
    <w:rsid w:val="000B5AB0"/>
    <w:rsid w:val="000B6456"/>
    <w:rsid w:val="000B7765"/>
    <w:rsid w:val="000B7B01"/>
    <w:rsid w:val="000C17CD"/>
    <w:rsid w:val="000C31B3"/>
    <w:rsid w:val="000C4A94"/>
    <w:rsid w:val="000C4DCE"/>
    <w:rsid w:val="000C5EA4"/>
    <w:rsid w:val="000C62AC"/>
    <w:rsid w:val="000C6933"/>
    <w:rsid w:val="000C6A1C"/>
    <w:rsid w:val="000C75CF"/>
    <w:rsid w:val="000C7E56"/>
    <w:rsid w:val="000D09D9"/>
    <w:rsid w:val="000D0E1F"/>
    <w:rsid w:val="000D1150"/>
    <w:rsid w:val="000D1283"/>
    <w:rsid w:val="000D35D4"/>
    <w:rsid w:val="000D3AD6"/>
    <w:rsid w:val="000D3C48"/>
    <w:rsid w:val="000D5A31"/>
    <w:rsid w:val="000D61CA"/>
    <w:rsid w:val="000D6320"/>
    <w:rsid w:val="000D673A"/>
    <w:rsid w:val="000D6B8C"/>
    <w:rsid w:val="000E08F3"/>
    <w:rsid w:val="000E154E"/>
    <w:rsid w:val="000E1627"/>
    <w:rsid w:val="000E235A"/>
    <w:rsid w:val="000E4109"/>
    <w:rsid w:val="000E4A53"/>
    <w:rsid w:val="000E7807"/>
    <w:rsid w:val="000F0620"/>
    <w:rsid w:val="000F0C61"/>
    <w:rsid w:val="000F2FE3"/>
    <w:rsid w:val="000F3F37"/>
    <w:rsid w:val="000F48EB"/>
    <w:rsid w:val="000F6084"/>
    <w:rsid w:val="000F60FF"/>
    <w:rsid w:val="00100B47"/>
    <w:rsid w:val="001015E7"/>
    <w:rsid w:val="00102253"/>
    <w:rsid w:val="00103D33"/>
    <w:rsid w:val="00104274"/>
    <w:rsid w:val="00104F0B"/>
    <w:rsid w:val="00105A0F"/>
    <w:rsid w:val="00105DBB"/>
    <w:rsid w:val="00105E7A"/>
    <w:rsid w:val="00106675"/>
    <w:rsid w:val="00107024"/>
    <w:rsid w:val="001074CB"/>
    <w:rsid w:val="0010761D"/>
    <w:rsid w:val="0011058C"/>
    <w:rsid w:val="0011118B"/>
    <w:rsid w:val="00111198"/>
    <w:rsid w:val="00111D2D"/>
    <w:rsid w:val="00112C12"/>
    <w:rsid w:val="00114868"/>
    <w:rsid w:val="001157DB"/>
    <w:rsid w:val="00115ECF"/>
    <w:rsid w:val="001160BB"/>
    <w:rsid w:val="00116164"/>
    <w:rsid w:val="00116BA2"/>
    <w:rsid w:val="00117D3C"/>
    <w:rsid w:val="00117EFB"/>
    <w:rsid w:val="001210D2"/>
    <w:rsid w:val="00121667"/>
    <w:rsid w:val="00121C8F"/>
    <w:rsid w:val="00122FCB"/>
    <w:rsid w:val="001235F8"/>
    <w:rsid w:val="00124359"/>
    <w:rsid w:val="00130D3D"/>
    <w:rsid w:val="00133266"/>
    <w:rsid w:val="0013373A"/>
    <w:rsid w:val="0013395D"/>
    <w:rsid w:val="00133A68"/>
    <w:rsid w:val="00133EB2"/>
    <w:rsid w:val="00133ED0"/>
    <w:rsid w:val="001340C9"/>
    <w:rsid w:val="0013533B"/>
    <w:rsid w:val="001372B8"/>
    <w:rsid w:val="001372BE"/>
    <w:rsid w:val="001379D4"/>
    <w:rsid w:val="00137D8B"/>
    <w:rsid w:val="00140165"/>
    <w:rsid w:val="0014037F"/>
    <w:rsid w:val="001416DE"/>
    <w:rsid w:val="00141ACE"/>
    <w:rsid w:val="00142B8B"/>
    <w:rsid w:val="00144197"/>
    <w:rsid w:val="00146735"/>
    <w:rsid w:val="00147242"/>
    <w:rsid w:val="001478C2"/>
    <w:rsid w:val="00147AE5"/>
    <w:rsid w:val="00147FA3"/>
    <w:rsid w:val="00150CF0"/>
    <w:rsid w:val="00151022"/>
    <w:rsid w:val="00152456"/>
    <w:rsid w:val="001526E5"/>
    <w:rsid w:val="001539F0"/>
    <w:rsid w:val="00153D6F"/>
    <w:rsid w:val="0015416A"/>
    <w:rsid w:val="00154519"/>
    <w:rsid w:val="0015491F"/>
    <w:rsid w:val="00154E81"/>
    <w:rsid w:val="00157AE7"/>
    <w:rsid w:val="00157BF9"/>
    <w:rsid w:val="00161897"/>
    <w:rsid w:val="001621AD"/>
    <w:rsid w:val="00167810"/>
    <w:rsid w:val="00167986"/>
    <w:rsid w:val="00167FB8"/>
    <w:rsid w:val="00170C56"/>
    <w:rsid w:val="001714A3"/>
    <w:rsid w:val="001732C4"/>
    <w:rsid w:val="00176D9E"/>
    <w:rsid w:val="00180045"/>
    <w:rsid w:val="00180F6B"/>
    <w:rsid w:val="001816A6"/>
    <w:rsid w:val="00182320"/>
    <w:rsid w:val="00183573"/>
    <w:rsid w:val="00183CD5"/>
    <w:rsid w:val="00184802"/>
    <w:rsid w:val="001859B7"/>
    <w:rsid w:val="00185EBA"/>
    <w:rsid w:val="001861C4"/>
    <w:rsid w:val="00187BD9"/>
    <w:rsid w:val="00187E42"/>
    <w:rsid w:val="00190DA5"/>
    <w:rsid w:val="00192505"/>
    <w:rsid w:val="00192DB3"/>
    <w:rsid w:val="0019367A"/>
    <w:rsid w:val="00193E83"/>
    <w:rsid w:val="00194C53"/>
    <w:rsid w:val="001959E5"/>
    <w:rsid w:val="00195DF7"/>
    <w:rsid w:val="00195E3B"/>
    <w:rsid w:val="00196774"/>
    <w:rsid w:val="00196EC8"/>
    <w:rsid w:val="001A00FB"/>
    <w:rsid w:val="001A048E"/>
    <w:rsid w:val="001A0D89"/>
    <w:rsid w:val="001A1271"/>
    <w:rsid w:val="001A617F"/>
    <w:rsid w:val="001A72D0"/>
    <w:rsid w:val="001B21F9"/>
    <w:rsid w:val="001B38B0"/>
    <w:rsid w:val="001B3C5F"/>
    <w:rsid w:val="001B3E83"/>
    <w:rsid w:val="001B41F9"/>
    <w:rsid w:val="001B432E"/>
    <w:rsid w:val="001B5234"/>
    <w:rsid w:val="001B5A12"/>
    <w:rsid w:val="001C03C4"/>
    <w:rsid w:val="001C1C31"/>
    <w:rsid w:val="001C1FD9"/>
    <w:rsid w:val="001C3BBF"/>
    <w:rsid w:val="001C6BFE"/>
    <w:rsid w:val="001C73A6"/>
    <w:rsid w:val="001D0078"/>
    <w:rsid w:val="001D035E"/>
    <w:rsid w:val="001D09B0"/>
    <w:rsid w:val="001D0C5B"/>
    <w:rsid w:val="001D2652"/>
    <w:rsid w:val="001D30CF"/>
    <w:rsid w:val="001D3821"/>
    <w:rsid w:val="001D49ED"/>
    <w:rsid w:val="001D765C"/>
    <w:rsid w:val="001D78C0"/>
    <w:rsid w:val="001D7E5B"/>
    <w:rsid w:val="001E0965"/>
    <w:rsid w:val="001E1582"/>
    <w:rsid w:val="001E202C"/>
    <w:rsid w:val="001E41C9"/>
    <w:rsid w:val="001E5D02"/>
    <w:rsid w:val="001E616D"/>
    <w:rsid w:val="001E670D"/>
    <w:rsid w:val="001E6CA8"/>
    <w:rsid w:val="001E795C"/>
    <w:rsid w:val="001E7EFC"/>
    <w:rsid w:val="001F039C"/>
    <w:rsid w:val="001F0AEF"/>
    <w:rsid w:val="001F19B3"/>
    <w:rsid w:val="001F19ED"/>
    <w:rsid w:val="001F29C1"/>
    <w:rsid w:val="001F29F3"/>
    <w:rsid w:val="001F3859"/>
    <w:rsid w:val="001F645C"/>
    <w:rsid w:val="001F695C"/>
    <w:rsid w:val="001F7862"/>
    <w:rsid w:val="001F78DE"/>
    <w:rsid w:val="001F7C28"/>
    <w:rsid w:val="001F7DA6"/>
    <w:rsid w:val="0020155B"/>
    <w:rsid w:val="00201F9B"/>
    <w:rsid w:val="00203742"/>
    <w:rsid w:val="00205375"/>
    <w:rsid w:val="002060F1"/>
    <w:rsid w:val="002061E5"/>
    <w:rsid w:val="00207F38"/>
    <w:rsid w:val="00210698"/>
    <w:rsid w:val="00210C2C"/>
    <w:rsid w:val="00210EDD"/>
    <w:rsid w:val="00211CF0"/>
    <w:rsid w:val="002122D5"/>
    <w:rsid w:val="0021333F"/>
    <w:rsid w:val="00214089"/>
    <w:rsid w:val="00214869"/>
    <w:rsid w:val="002155B6"/>
    <w:rsid w:val="00217ACD"/>
    <w:rsid w:val="00217FEF"/>
    <w:rsid w:val="00220AE4"/>
    <w:rsid w:val="00220B5A"/>
    <w:rsid w:val="00223D2C"/>
    <w:rsid w:val="00224145"/>
    <w:rsid w:val="002246DE"/>
    <w:rsid w:val="00225939"/>
    <w:rsid w:val="00226836"/>
    <w:rsid w:val="00227DCA"/>
    <w:rsid w:val="00230214"/>
    <w:rsid w:val="00231019"/>
    <w:rsid w:val="00231498"/>
    <w:rsid w:val="00231CDD"/>
    <w:rsid w:val="00232A7B"/>
    <w:rsid w:val="00232DD2"/>
    <w:rsid w:val="00233154"/>
    <w:rsid w:val="00233FF8"/>
    <w:rsid w:val="002344D0"/>
    <w:rsid w:val="002348BC"/>
    <w:rsid w:val="00234AA4"/>
    <w:rsid w:val="00235CE3"/>
    <w:rsid w:val="00236A81"/>
    <w:rsid w:val="00237BBF"/>
    <w:rsid w:val="00240CDF"/>
    <w:rsid w:val="002417DE"/>
    <w:rsid w:val="0024196E"/>
    <w:rsid w:val="00242A16"/>
    <w:rsid w:val="00244E84"/>
    <w:rsid w:val="00247067"/>
    <w:rsid w:val="00247855"/>
    <w:rsid w:val="002502F4"/>
    <w:rsid w:val="0025177F"/>
    <w:rsid w:val="00251AFA"/>
    <w:rsid w:val="00251F57"/>
    <w:rsid w:val="00252E4A"/>
    <w:rsid w:val="002530AE"/>
    <w:rsid w:val="00253803"/>
    <w:rsid w:val="002547A9"/>
    <w:rsid w:val="00254A98"/>
    <w:rsid w:val="002567FF"/>
    <w:rsid w:val="002613DA"/>
    <w:rsid w:val="00261499"/>
    <w:rsid w:val="002619BB"/>
    <w:rsid w:val="00261BA9"/>
    <w:rsid w:val="00261DE2"/>
    <w:rsid w:val="0026213A"/>
    <w:rsid w:val="00262455"/>
    <w:rsid w:val="0026367E"/>
    <w:rsid w:val="00264225"/>
    <w:rsid w:val="00266618"/>
    <w:rsid w:val="00266D7E"/>
    <w:rsid w:val="00266FF3"/>
    <w:rsid w:val="0026714F"/>
    <w:rsid w:val="0026745A"/>
    <w:rsid w:val="002675FF"/>
    <w:rsid w:val="00267EA1"/>
    <w:rsid w:val="00270345"/>
    <w:rsid w:val="00272CB9"/>
    <w:rsid w:val="00272CEA"/>
    <w:rsid w:val="0027320F"/>
    <w:rsid w:val="00274502"/>
    <w:rsid w:val="002746CB"/>
    <w:rsid w:val="0027588F"/>
    <w:rsid w:val="00275EE7"/>
    <w:rsid w:val="00277A38"/>
    <w:rsid w:val="00280380"/>
    <w:rsid w:val="00280712"/>
    <w:rsid w:val="00281445"/>
    <w:rsid w:val="00281504"/>
    <w:rsid w:val="0028301C"/>
    <w:rsid w:val="002833D7"/>
    <w:rsid w:val="0028360D"/>
    <w:rsid w:val="0028386C"/>
    <w:rsid w:val="00283C26"/>
    <w:rsid w:val="0028408A"/>
    <w:rsid w:val="002844F9"/>
    <w:rsid w:val="00284C21"/>
    <w:rsid w:val="0028685C"/>
    <w:rsid w:val="002873D5"/>
    <w:rsid w:val="002903EC"/>
    <w:rsid w:val="0029042B"/>
    <w:rsid w:val="002906DB"/>
    <w:rsid w:val="00291B62"/>
    <w:rsid w:val="00291ED8"/>
    <w:rsid w:val="00291EF3"/>
    <w:rsid w:val="00291FC2"/>
    <w:rsid w:val="00292683"/>
    <w:rsid w:val="00292781"/>
    <w:rsid w:val="002929E7"/>
    <w:rsid w:val="00292AD2"/>
    <w:rsid w:val="00293AAB"/>
    <w:rsid w:val="00293EE7"/>
    <w:rsid w:val="00297489"/>
    <w:rsid w:val="0029758C"/>
    <w:rsid w:val="002976FB"/>
    <w:rsid w:val="00297C2E"/>
    <w:rsid w:val="00297F11"/>
    <w:rsid w:val="002A20A9"/>
    <w:rsid w:val="002A3883"/>
    <w:rsid w:val="002A475B"/>
    <w:rsid w:val="002A485F"/>
    <w:rsid w:val="002A4C7E"/>
    <w:rsid w:val="002A5153"/>
    <w:rsid w:val="002A5301"/>
    <w:rsid w:val="002A6B43"/>
    <w:rsid w:val="002B030D"/>
    <w:rsid w:val="002B143A"/>
    <w:rsid w:val="002B14EE"/>
    <w:rsid w:val="002B21BE"/>
    <w:rsid w:val="002B348B"/>
    <w:rsid w:val="002B3EA3"/>
    <w:rsid w:val="002B3F65"/>
    <w:rsid w:val="002B45D3"/>
    <w:rsid w:val="002B45FE"/>
    <w:rsid w:val="002B467D"/>
    <w:rsid w:val="002B46F3"/>
    <w:rsid w:val="002B58AC"/>
    <w:rsid w:val="002B6E2A"/>
    <w:rsid w:val="002B752C"/>
    <w:rsid w:val="002B7951"/>
    <w:rsid w:val="002C02D9"/>
    <w:rsid w:val="002C18C1"/>
    <w:rsid w:val="002C19A8"/>
    <w:rsid w:val="002C1CE3"/>
    <w:rsid w:val="002C3841"/>
    <w:rsid w:val="002C3E5D"/>
    <w:rsid w:val="002C4ED3"/>
    <w:rsid w:val="002D0019"/>
    <w:rsid w:val="002D193B"/>
    <w:rsid w:val="002D1DED"/>
    <w:rsid w:val="002D346D"/>
    <w:rsid w:val="002D53E7"/>
    <w:rsid w:val="002D6ECA"/>
    <w:rsid w:val="002D774E"/>
    <w:rsid w:val="002E13B1"/>
    <w:rsid w:val="002E33B0"/>
    <w:rsid w:val="002E4BD8"/>
    <w:rsid w:val="002E769B"/>
    <w:rsid w:val="002E7DF1"/>
    <w:rsid w:val="002E7E71"/>
    <w:rsid w:val="002F05FD"/>
    <w:rsid w:val="002F0AA4"/>
    <w:rsid w:val="002F0FC5"/>
    <w:rsid w:val="002F122A"/>
    <w:rsid w:val="002F16DB"/>
    <w:rsid w:val="002F2325"/>
    <w:rsid w:val="002F2522"/>
    <w:rsid w:val="002F2568"/>
    <w:rsid w:val="002F2B2B"/>
    <w:rsid w:val="002F37CA"/>
    <w:rsid w:val="002F3836"/>
    <w:rsid w:val="002F3FF3"/>
    <w:rsid w:val="002F5839"/>
    <w:rsid w:val="002F7A22"/>
    <w:rsid w:val="002F7DD1"/>
    <w:rsid w:val="00300D2C"/>
    <w:rsid w:val="00301511"/>
    <w:rsid w:val="0030176E"/>
    <w:rsid w:val="003017DA"/>
    <w:rsid w:val="00302744"/>
    <w:rsid w:val="003030BA"/>
    <w:rsid w:val="00306453"/>
    <w:rsid w:val="003074AF"/>
    <w:rsid w:val="00307CE9"/>
    <w:rsid w:val="00307D2E"/>
    <w:rsid w:val="0031005D"/>
    <w:rsid w:val="0031044A"/>
    <w:rsid w:val="003120C5"/>
    <w:rsid w:val="00312C48"/>
    <w:rsid w:val="00312C55"/>
    <w:rsid w:val="00313472"/>
    <w:rsid w:val="00313480"/>
    <w:rsid w:val="00314DC3"/>
    <w:rsid w:val="0031534D"/>
    <w:rsid w:val="00315AD3"/>
    <w:rsid w:val="00316FDB"/>
    <w:rsid w:val="00317B3B"/>
    <w:rsid w:val="00317E0C"/>
    <w:rsid w:val="00321D2B"/>
    <w:rsid w:val="003243C5"/>
    <w:rsid w:val="0032490C"/>
    <w:rsid w:val="0032565B"/>
    <w:rsid w:val="003258C0"/>
    <w:rsid w:val="0032636B"/>
    <w:rsid w:val="00327284"/>
    <w:rsid w:val="0033096D"/>
    <w:rsid w:val="00331346"/>
    <w:rsid w:val="00331C1F"/>
    <w:rsid w:val="003324C0"/>
    <w:rsid w:val="003329C3"/>
    <w:rsid w:val="00333E43"/>
    <w:rsid w:val="00335E04"/>
    <w:rsid w:val="003369AD"/>
    <w:rsid w:val="003374C9"/>
    <w:rsid w:val="00340BF7"/>
    <w:rsid w:val="00341751"/>
    <w:rsid w:val="00342F3E"/>
    <w:rsid w:val="00343185"/>
    <w:rsid w:val="00343780"/>
    <w:rsid w:val="00344E17"/>
    <w:rsid w:val="00344E96"/>
    <w:rsid w:val="00346A50"/>
    <w:rsid w:val="0034789F"/>
    <w:rsid w:val="00350189"/>
    <w:rsid w:val="003509D4"/>
    <w:rsid w:val="003509EB"/>
    <w:rsid w:val="003513CF"/>
    <w:rsid w:val="00352AD8"/>
    <w:rsid w:val="00354601"/>
    <w:rsid w:val="00354AE8"/>
    <w:rsid w:val="00355138"/>
    <w:rsid w:val="003561ED"/>
    <w:rsid w:val="003575BD"/>
    <w:rsid w:val="00357D74"/>
    <w:rsid w:val="003614A1"/>
    <w:rsid w:val="00361F8A"/>
    <w:rsid w:val="00362432"/>
    <w:rsid w:val="00362C8E"/>
    <w:rsid w:val="0036459A"/>
    <w:rsid w:val="00364DB2"/>
    <w:rsid w:val="00365350"/>
    <w:rsid w:val="00366646"/>
    <w:rsid w:val="00366B95"/>
    <w:rsid w:val="00367476"/>
    <w:rsid w:val="00372C06"/>
    <w:rsid w:val="003730B5"/>
    <w:rsid w:val="00373746"/>
    <w:rsid w:val="00374857"/>
    <w:rsid w:val="00374CA4"/>
    <w:rsid w:val="0037511D"/>
    <w:rsid w:val="003753A1"/>
    <w:rsid w:val="00376246"/>
    <w:rsid w:val="003772DC"/>
    <w:rsid w:val="0038034F"/>
    <w:rsid w:val="003813B7"/>
    <w:rsid w:val="00381B56"/>
    <w:rsid w:val="0038227A"/>
    <w:rsid w:val="00383819"/>
    <w:rsid w:val="00384ACF"/>
    <w:rsid w:val="00385007"/>
    <w:rsid w:val="003853B1"/>
    <w:rsid w:val="00385BEF"/>
    <w:rsid w:val="00385F37"/>
    <w:rsid w:val="00386C92"/>
    <w:rsid w:val="003910DA"/>
    <w:rsid w:val="00391631"/>
    <w:rsid w:val="003919EF"/>
    <w:rsid w:val="003927D0"/>
    <w:rsid w:val="003927F7"/>
    <w:rsid w:val="00393BC6"/>
    <w:rsid w:val="003944B3"/>
    <w:rsid w:val="0039627E"/>
    <w:rsid w:val="0039675C"/>
    <w:rsid w:val="003A07A0"/>
    <w:rsid w:val="003A271A"/>
    <w:rsid w:val="003A535F"/>
    <w:rsid w:val="003A54FB"/>
    <w:rsid w:val="003A77F2"/>
    <w:rsid w:val="003A7C57"/>
    <w:rsid w:val="003B1FFB"/>
    <w:rsid w:val="003B21C3"/>
    <w:rsid w:val="003B33E1"/>
    <w:rsid w:val="003B4A33"/>
    <w:rsid w:val="003B555D"/>
    <w:rsid w:val="003B57A3"/>
    <w:rsid w:val="003B57CB"/>
    <w:rsid w:val="003B6A11"/>
    <w:rsid w:val="003B7620"/>
    <w:rsid w:val="003C19E1"/>
    <w:rsid w:val="003C1F08"/>
    <w:rsid w:val="003C4499"/>
    <w:rsid w:val="003C4DCF"/>
    <w:rsid w:val="003C5946"/>
    <w:rsid w:val="003C5D4E"/>
    <w:rsid w:val="003C6585"/>
    <w:rsid w:val="003C7153"/>
    <w:rsid w:val="003C74DE"/>
    <w:rsid w:val="003D0A92"/>
    <w:rsid w:val="003D0CB9"/>
    <w:rsid w:val="003D1B5C"/>
    <w:rsid w:val="003D1EDB"/>
    <w:rsid w:val="003D6206"/>
    <w:rsid w:val="003D6300"/>
    <w:rsid w:val="003D6429"/>
    <w:rsid w:val="003D6AE7"/>
    <w:rsid w:val="003D7BC1"/>
    <w:rsid w:val="003E42B4"/>
    <w:rsid w:val="003E4D6F"/>
    <w:rsid w:val="003E54B6"/>
    <w:rsid w:val="003E7373"/>
    <w:rsid w:val="003E7B23"/>
    <w:rsid w:val="003F09AA"/>
    <w:rsid w:val="003F0C9B"/>
    <w:rsid w:val="003F0F84"/>
    <w:rsid w:val="003F16D3"/>
    <w:rsid w:val="003F262D"/>
    <w:rsid w:val="003F34DC"/>
    <w:rsid w:val="003F34E3"/>
    <w:rsid w:val="003F3E84"/>
    <w:rsid w:val="003F5F00"/>
    <w:rsid w:val="003F62CC"/>
    <w:rsid w:val="003F7232"/>
    <w:rsid w:val="003F7A7A"/>
    <w:rsid w:val="004028C4"/>
    <w:rsid w:val="00402FF5"/>
    <w:rsid w:val="00403239"/>
    <w:rsid w:val="00403E80"/>
    <w:rsid w:val="00404F0E"/>
    <w:rsid w:val="00405681"/>
    <w:rsid w:val="00405BC7"/>
    <w:rsid w:val="00406683"/>
    <w:rsid w:val="00407746"/>
    <w:rsid w:val="00414250"/>
    <w:rsid w:val="00415409"/>
    <w:rsid w:val="00417A85"/>
    <w:rsid w:val="00421E17"/>
    <w:rsid w:val="0042287E"/>
    <w:rsid w:val="00423348"/>
    <w:rsid w:val="00423402"/>
    <w:rsid w:val="004235CF"/>
    <w:rsid w:val="00423A65"/>
    <w:rsid w:val="00424897"/>
    <w:rsid w:val="00427040"/>
    <w:rsid w:val="00427097"/>
    <w:rsid w:val="0042716F"/>
    <w:rsid w:val="004271DE"/>
    <w:rsid w:val="004279F1"/>
    <w:rsid w:val="0043026C"/>
    <w:rsid w:val="00431417"/>
    <w:rsid w:val="0043181C"/>
    <w:rsid w:val="00432256"/>
    <w:rsid w:val="00432FA3"/>
    <w:rsid w:val="00434CE9"/>
    <w:rsid w:val="00435753"/>
    <w:rsid w:val="004370CB"/>
    <w:rsid w:val="004406B0"/>
    <w:rsid w:val="00441197"/>
    <w:rsid w:val="00441745"/>
    <w:rsid w:val="00442697"/>
    <w:rsid w:val="00442CC0"/>
    <w:rsid w:val="00443E30"/>
    <w:rsid w:val="00444E3D"/>
    <w:rsid w:val="00444F43"/>
    <w:rsid w:val="0044667B"/>
    <w:rsid w:val="004467E5"/>
    <w:rsid w:val="00447603"/>
    <w:rsid w:val="0045111B"/>
    <w:rsid w:val="00451A60"/>
    <w:rsid w:val="0045218A"/>
    <w:rsid w:val="00452A37"/>
    <w:rsid w:val="00452E06"/>
    <w:rsid w:val="00453639"/>
    <w:rsid w:val="00453B7B"/>
    <w:rsid w:val="00457A79"/>
    <w:rsid w:val="00460F80"/>
    <w:rsid w:val="004622FC"/>
    <w:rsid w:val="004623F6"/>
    <w:rsid w:val="00462DDF"/>
    <w:rsid w:val="00463230"/>
    <w:rsid w:val="00463498"/>
    <w:rsid w:val="00464897"/>
    <w:rsid w:val="004660EF"/>
    <w:rsid w:val="00466718"/>
    <w:rsid w:val="00466721"/>
    <w:rsid w:val="004702C9"/>
    <w:rsid w:val="004729C4"/>
    <w:rsid w:val="0047388E"/>
    <w:rsid w:val="00474E76"/>
    <w:rsid w:val="00476139"/>
    <w:rsid w:val="00476D30"/>
    <w:rsid w:val="00476E0A"/>
    <w:rsid w:val="004770E6"/>
    <w:rsid w:val="00480562"/>
    <w:rsid w:val="00480D35"/>
    <w:rsid w:val="00482199"/>
    <w:rsid w:val="00482C82"/>
    <w:rsid w:val="00482D12"/>
    <w:rsid w:val="00482EB2"/>
    <w:rsid w:val="00483553"/>
    <w:rsid w:val="004842B8"/>
    <w:rsid w:val="00484705"/>
    <w:rsid w:val="00484A7B"/>
    <w:rsid w:val="0048509F"/>
    <w:rsid w:val="00485A68"/>
    <w:rsid w:val="00486BE1"/>
    <w:rsid w:val="00486CE0"/>
    <w:rsid w:val="00486FB3"/>
    <w:rsid w:val="0049104A"/>
    <w:rsid w:val="004916ED"/>
    <w:rsid w:val="00491CE4"/>
    <w:rsid w:val="004932CD"/>
    <w:rsid w:val="00493683"/>
    <w:rsid w:val="004939E9"/>
    <w:rsid w:val="00494A63"/>
    <w:rsid w:val="00494CCA"/>
    <w:rsid w:val="004950B4"/>
    <w:rsid w:val="00495A5E"/>
    <w:rsid w:val="00497384"/>
    <w:rsid w:val="00497491"/>
    <w:rsid w:val="004A0357"/>
    <w:rsid w:val="004A2203"/>
    <w:rsid w:val="004A3AEF"/>
    <w:rsid w:val="004A5ACC"/>
    <w:rsid w:val="004A6661"/>
    <w:rsid w:val="004B1599"/>
    <w:rsid w:val="004B1798"/>
    <w:rsid w:val="004B277D"/>
    <w:rsid w:val="004B2991"/>
    <w:rsid w:val="004B2C84"/>
    <w:rsid w:val="004B340C"/>
    <w:rsid w:val="004B3476"/>
    <w:rsid w:val="004B348B"/>
    <w:rsid w:val="004B75BE"/>
    <w:rsid w:val="004B7FDF"/>
    <w:rsid w:val="004C24F5"/>
    <w:rsid w:val="004C3CF5"/>
    <w:rsid w:val="004C5285"/>
    <w:rsid w:val="004C7407"/>
    <w:rsid w:val="004D07FE"/>
    <w:rsid w:val="004D084B"/>
    <w:rsid w:val="004D08C6"/>
    <w:rsid w:val="004D1E2A"/>
    <w:rsid w:val="004D2FFE"/>
    <w:rsid w:val="004D38AB"/>
    <w:rsid w:val="004D477E"/>
    <w:rsid w:val="004D673F"/>
    <w:rsid w:val="004D6DEA"/>
    <w:rsid w:val="004D6F74"/>
    <w:rsid w:val="004D70C3"/>
    <w:rsid w:val="004D750B"/>
    <w:rsid w:val="004E0719"/>
    <w:rsid w:val="004E0DCD"/>
    <w:rsid w:val="004E0F2A"/>
    <w:rsid w:val="004E28B8"/>
    <w:rsid w:val="004E2F24"/>
    <w:rsid w:val="004E3FE3"/>
    <w:rsid w:val="004E492E"/>
    <w:rsid w:val="004E4BE9"/>
    <w:rsid w:val="004E4EE9"/>
    <w:rsid w:val="004E4EF8"/>
    <w:rsid w:val="004E58D6"/>
    <w:rsid w:val="004E5A78"/>
    <w:rsid w:val="004E6E3B"/>
    <w:rsid w:val="004E70BA"/>
    <w:rsid w:val="004E7706"/>
    <w:rsid w:val="004E7C00"/>
    <w:rsid w:val="004F34E4"/>
    <w:rsid w:val="004F6065"/>
    <w:rsid w:val="0050075B"/>
    <w:rsid w:val="005012F2"/>
    <w:rsid w:val="0050164C"/>
    <w:rsid w:val="00501F75"/>
    <w:rsid w:val="005030E2"/>
    <w:rsid w:val="00503C17"/>
    <w:rsid w:val="0050632A"/>
    <w:rsid w:val="00510BC5"/>
    <w:rsid w:val="00510CA9"/>
    <w:rsid w:val="00510EC3"/>
    <w:rsid w:val="0051137C"/>
    <w:rsid w:val="005117B8"/>
    <w:rsid w:val="00511910"/>
    <w:rsid w:val="005128B8"/>
    <w:rsid w:val="0051598B"/>
    <w:rsid w:val="00515E77"/>
    <w:rsid w:val="00515FFD"/>
    <w:rsid w:val="005167D2"/>
    <w:rsid w:val="0051769D"/>
    <w:rsid w:val="00520FB3"/>
    <w:rsid w:val="00521ACC"/>
    <w:rsid w:val="00521BD9"/>
    <w:rsid w:val="005228A5"/>
    <w:rsid w:val="0052408C"/>
    <w:rsid w:val="00524F6C"/>
    <w:rsid w:val="005277B5"/>
    <w:rsid w:val="005320AB"/>
    <w:rsid w:val="005329F6"/>
    <w:rsid w:val="0053446A"/>
    <w:rsid w:val="005353A3"/>
    <w:rsid w:val="00535775"/>
    <w:rsid w:val="00535B03"/>
    <w:rsid w:val="00535E61"/>
    <w:rsid w:val="005362D5"/>
    <w:rsid w:val="00536A0E"/>
    <w:rsid w:val="00540722"/>
    <w:rsid w:val="00540B89"/>
    <w:rsid w:val="00540C0A"/>
    <w:rsid w:val="005416DC"/>
    <w:rsid w:val="00541ED9"/>
    <w:rsid w:val="005427DA"/>
    <w:rsid w:val="005433C4"/>
    <w:rsid w:val="005449F0"/>
    <w:rsid w:val="00545270"/>
    <w:rsid w:val="00545526"/>
    <w:rsid w:val="00545D6B"/>
    <w:rsid w:val="005465B4"/>
    <w:rsid w:val="00546FA4"/>
    <w:rsid w:val="005470BF"/>
    <w:rsid w:val="00547E6C"/>
    <w:rsid w:val="005503ED"/>
    <w:rsid w:val="00552645"/>
    <w:rsid w:val="005538C1"/>
    <w:rsid w:val="005544E2"/>
    <w:rsid w:val="00554558"/>
    <w:rsid w:val="00557F30"/>
    <w:rsid w:val="00561B00"/>
    <w:rsid w:val="0056313A"/>
    <w:rsid w:val="0056416D"/>
    <w:rsid w:val="005653E2"/>
    <w:rsid w:val="00565644"/>
    <w:rsid w:val="0056694F"/>
    <w:rsid w:val="00566AFE"/>
    <w:rsid w:val="0056749C"/>
    <w:rsid w:val="00567DDA"/>
    <w:rsid w:val="00567FD9"/>
    <w:rsid w:val="0057021F"/>
    <w:rsid w:val="00570480"/>
    <w:rsid w:val="0057060E"/>
    <w:rsid w:val="00570981"/>
    <w:rsid w:val="00570EE8"/>
    <w:rsid w:val="005713CD"/>
    <w:rsid w:val="00573ECF"/>
    <w:rsid w:val="00575C99"/>
    <w:rsid w:val="00576940"/>
    <w:rsid w:val="005771F8"/>
    <w:rsid w:val="00577420"/>
    <w:rsid w:val="00577468"/>
    <w:rsid w:val="00580E33"/>
    <w:rsid w:val="00581446"/>
    <w:rsid w:val="00581A0C"/>
    <w:rsid w:val="00582A9A"/>
    <w:rsid w:val="005836BC"/>
    <w:rsid w:val="005846FE"/>
    <w:rsid w:val="00585D65"/>
    <w:rsid w:val="00586026"/>
    <w:rsid w:val="00586AAF"/>
    <w:rsid w:val="00590C1B"/>
    <w:rsid w:val="005911D4"/>
    <w:rsid w:val="00591810"/>
    <w:rsid w:val="00591E0D"/>
    <w:rsid w:val="00593A76"/>
    <w:rsid w:val="00594B5A"/>
    <w:rsid w:val="005973E1"/>
    <w:rsid w:val="005979C1"/>
    <w:rsid w:val="005A10E6"/>
    <w:rsid w:val="005A1725"/>
    <w:rsid w:val="005A34C2"/>
    <w:rsid w:val="005A35F3"/>
    <w:rsid w:val="005A3BFC"/>
    <w:rsid w:val="005A4AEE"/>
    <w:rsid w:val="005A69B5"/>
    <w:rsid w:val="005A6AC1"/>
    <w:rsid w:val="005B0AC5"/>
    <w:rsid w:val="005B1C09"/>
    <w:rsid w:val="005B1FE3"/>
    <w:rsid w:val="005B330C"/>
    <w:rsid w:val="005B412B"/>
    <w:rsid w:val="005B6F14"/>
    <w:rsid w:val="005B7B09"/>
    <w:rsid w:val="005B7B78"/>
    <w:rsid w:val="005B7DA7"/>
    <w:rsid w:val="005C0EA5"/>
    <w:rsid w:val="005C25FE"/>
    <w:rsid w:val="005C2C38"/>
    <w:rsid w:val="005C32F5"/>
    <w:rsid w:val="005C3528"/>
    <w:rsid w:val="005C4547"/>
    <w:rsid w:val="005C4EBC"/>
    <w:rsid w:val="005C501A"/>
    <w:rsid w:val="005C5FA7"/>
    <w:rsid w:val="005C614F"/>
    <w:rsid w:val="005C6A9B"/>
    <w:rsid w:val="005C6E82"/>
    <w:rsid w:val="005C72C1"/>
    <w:rsid w:val="005D133C"/>
    <w:rsid w:val="005D21AD"/>
    <w:rsid w:val="005D2BA3"/>
    <w:rsid w:val="005D2D65"/>
    <w:rsid w:val="005D36C9"/>
    <w:rsid w:val="005D4FDE"/>
    <w:rsid w:val="005D538A"/>
    <w:rsid w:val="005D6204"/>
    <w:rsid w:val="005D623B"/>
    <w:rsid w:val="005E05E9"/>
    <w:rsid w:val="005E0DC7"/>
    <w:rsid w:val="005E1283"/>
    <w:rsid w:val="005E1D1A"/>
    <w:rsid w:val="005E2E69"/>
    <w:rsid w:val="005E5433"/>
    <w:rsid w:val="005E5658"/>
    <w:rsid w:val="005E5A10"/>
    <w:rsid w:val="005E5D3A"/>
    <w:rsid w:val="005E7077"/>
    <w:rsid w:val="005E7504"/>
    <w:rsid w:val="005E7827"/>
    <w:rsid w:val="005E7FCE"/>
    <w:rsid w:val="005F027A"/>
    <w:rsid w:val="005F07B4"/>
    <w:rsid w:val="005F145C"/>
    <w:rsid w:val="005F24EA"/>
    <w:rsid w:val="005F2C88"/>
    <w:rsid w:val="005F36C8"/>
    <w:rsid w:val="005F3E48"/>
    <w:rsid w:val="005F4887"/>
    <w:rsid w:val="005F4FC0"/>
    <w:rsid w:val="005F597F"/>
    <w:rsid w:val="005F6946"/>
    <w:rsid w:val="005F743B"/>
    <w:rsid w:val="00600A99"/>
    <w:rsid w:val="006010E8"/>
    <w:rsid w:val="00601620"/>
    <w:rsid w:val="00601904"/>
    <w:rsid w:val="00601E6F"/>
    <w:rsid w:val="00602B23"/>
    <w:rsid w:val="00602E6B"/>
    <w:rsid w:val="00603BA9"/>
    <w:rsid w:val="00605788"/>
    <w:rsid w:val="00606897"/>
    <w:rsid w:val="006076C9"/>
    <w:rsid w:val="006078F0"/>
    <w:rsid w:val="006103AE"/>
    <w:rsid w:val="006114DF"/>
    <w:rsid w:val="00611EC2"/>
    <w:rsid w:val="0061225D"/>
    <w:rsid w:val="00613364"/>
    <w:rsid w:val="006134B7"/>
    <w:rsid w:val="00614C81"/>
    <w:rsid w:val="00616A11"/>
    <w:rsid w:val="0061739E"/>
    <w:rsid w:val="0061766F"/>
    <w:rsid w:val="006179BE"/>
    <w:rsid w:val="006206A5"/>
    <w:rsid w:val="00620795"/>
    <w:rsid w:val="00620966"/>
    <w:rsid w:val="00621946"/>
    <w:rsid w:val="00622757"/>
    <w:rsid w:val="006229D5"/>
    <w:rsid w:val="00624174"/>
    <w:rsid w:val="00624529"/>
    <w:rsid w:val="006256EF"/>
    <w:rsid w:val="0062623E"/>
    <w:rsid w:val="00626618"/>
    <w:rsid w:val="006266A5"/>
    <w:rsid w:val="00627624"/>
    <w:rsid w:val="006300E7"/>
    <w:rsid w:val="00631009"/>
    <w:rsid w:val="006342F6"/>
    <w:rsid w:val="00635AEA"/>
    <w:rsid w:val="00635C18"/>
    <w:rsid w:val="00636F89"/>
    <w:rsid w:val="00637378"/>
    <w:rsid w:val="00641532"/>
    <w:rsid w:val="00642415"/>
    <w:rsid w:val="00642545"/>
    <w:rsid w:val="006436D7"/>
    <w:rsid w:val="00643880"/>
    <w:rsid w:val="00644932"/>
    <w:rsid w:val="00644B94"/>
    <w:rsid w:val="00644BA5"/>
    <w:rsid w:val="00645535"/>
    <w:rsid w:val="00646567"/>
    <w:rsid w:val="0064733E"/>
    <w:rsid w:val="00650C9A"/>
    <w:rsid w:val="00651280"/>
    <w:rsid w:val="00652105"/>
    <w:rsid w:val="00652567"/>
    <w:rsid w:val="006533B6"/>
    <w:rsid w:val="00653AAF"/>
    <w:rsid w:val="00654016"/>
    <w:rsid w:val="00655824"/>
    <w:rsid w:val="00656287"/>
    <w:rsid w:val="006573EB"/>
    <w:rsid w:val="00657734"/>
    <w:rsid w:val="0066133B"/>
    <w:rsid w:val="0066172F"/>
    <w:rsid w:val="00661DF2"/>
    <w:rsid w:val="00662A80"/>
    <w:rsid w:val="006635E7"/>
    <w:rsid w:val="00663EA9"/>
    <w:rsid w:val="006649D9"/>
    <w:rsid w:val="00664F60"/>
    <w:rsid w:val="006658D6"/>
    <w:rsid w:val="00665D6B"/>
    <w:rsid w:val="00665FEE"/>
    <w:rsid w:val="00666351"/>
    <w:rsid w:val="00666EF8"/>
    <w:rsid w:val="00667423"/>
    <w:rsid w:val="00671609"/>
    <w:rsid w:val="00671F68"/>
    <w:rsid w:val="00673186"/>
    <w:rsid w:val="006744D3"/>
    <w:rsid w:val="00675BA1"/>
    <w:rsid w:val="006761BB"/>
    <w:rsid w:val="00677DF6"/>
    <w:rsid w:val="00680025"/>
    <w:rsid w:val="006815C5"/>
    <w:rsid w:val="00682B8A"/>
    <w:rsid w:val="00682E94"/>
    <w:rsid w:val="00683056"/>
    <w:rsid w:val="00683EC2"/>
    <w:rsid w:val="00684313"/>
    <w:rsid w:val="00685109"/>
    <w:rsid w:val="0068559D"/>
    <w:rsid w:val="00685D57"/>
    <w:rsid w:val="0068685E"/>
    <w:rsid w:val="006901B3"/>
    <w:rsid w:val="006908F5"/>
    <w:rsid w:val="00690AF0"/>
    <w:rsid w:val="0069153D"/>
    <w:rsid w:val="006915DE"/>
    <w:rsid w:val="006916ED"/>
    <w:rsid w:val="00691F31"/>
    <w:rsid w:val="00693ADC"/>
    <w:rsid w:val="00694A12"/>
    <w:rsid w:val="0069551A"/>
    <w:rsid w:val="00696851"/>
    <w:rsid w:val="00696C57"/>
    <w:rsid w:val="0069707A"/>
    <w:rsid w:val="006979BD"/>
    <w:rsid w:val="006A05ED"/>
    <w:rsid w:val="006A0AEA"/>
    <w:rsid w:val="006A3536"/>
    <w:rsid w:val="006A3815"/>
    <w:rsid w:val="006A3A0A"/>
    <w:rsid w:val="006A3B00"/>
    <w:rsid w:val="006A44E8"/>
    <w:rsid w:val="006A76A1"/>
    <w:rsid w:val="006A78F8"/>
    <w:rsid w:val="006B167C"/>
    <w:rsid w:val="006B1CCA"/>
    <w:rsid w:val="006B24C8"/>
    <w:rsid w:val="006B393A"/>
    <w:rsid w:val="006B3E60"/>
    <w:rsid w:val="006B7314"/>
    <w:rsid w:val="006C071B"/>
    <w:rsid w:val="006C08A1"/>
    <w:rsid w:val="006C2305"/>
    <w:rsid w:val="006C2D4D"/>
    <w:rsid w:val="006C413D"/>
    <w:rsid w:val="006C490B"/>
    <w:rsid w:val="006C6BD6"/>
    <w:rsid w:val="006C79E8"/>
    <w:rsid w:val="006D1CE9"/>
    <w:rsid w:val="006D44E1"/>
    <w:rsid w:val="006D4A99"/>
    <w:rsid w:val="006D5B8B"/>
    <w:rsid w:val="006D5FB5"/>
    <w:rsid w:val="006D63DC"/>
    <w:rsid w:val="006D6E6E"/>
    <w:rsid w:val="006D7178"/>
    <w:rsid w:val="006E1D99"/>
    <w:rsid w:val="006E2712"/>
    <w:rsid w:val="006E2ACF"/>
    <w:rsid w:val="006E3267"/>
    <w:rsid w:val="006E359D"/>
    <w:rsid w:val="006E4304"/>
    <w:rsid w:val="006E4D8E"/>
    <w:rsid w:val="006E5BE3"/>
    <w:rsid w:val="006E5E08"/>
    <w:rsid w:val="006E6B2F"/>
    <w:rsid w:val="006E6CB0"/>
    <w:rsid w:val="006E72BE"/>
    <w:rsid w:val="006E7A71"/>
    <w:rsid w:val="006F0270"/>
    <w:rsid w:val="006F1C1E"/>
    <w:rsid w:val="006F2010"/>
    <w:rsid w:val="006F27B0"/>
    <w:rsid w:val="006F2F4A"/>
    <w:rsid w:val="006F34A2"/>
    <w:rsid w:val="006F35F0"/>
    <w:rsid w:val="006F49FD"/>
    <w:rsid w:val="006F606B"/>
    <w:rsid w:val="006F6A8B"/>
    <w:rsid w:val="006F6C58"/>
    <w:rsid w:val="006F77D4"/>
    <w:rsid w:val="006F7845"/>
    <w:rsid w:val="0070092C"/>
    <w:rsid w:val="007028F4"/>
    <w:rsid w:val="007035AD"/>
    <w:rsid w:val="007041DA"/>
    <w:rsid w:val="00704960"/>
    <w:rsid w:val="00704ACA"/>
    <w:rsid w:val="00704D7F"/>
    <w:rsid w:val="00704E46"/>
    <w:rsid w:val="00705C41"/>
    <w:rsid w:val="007062CA"/>
    <w:rsid w:val="0070642B"/>
    <w:rsid w:val="007072E2"/>
    <w:rsid w:val="00710176"/>
    <w:rsid w:val="0071085D"/>
    <w:rsid w:val="007108DF"/>
    <w:rsid w:val="00710EC5"/>
    <w:rsid w:val="007118F5"/>
    <w:rsid w:val="00711F21"/>
    <w:rsid w:val="0071266A"/>
    <w:rsid w:val="00714E19"/>
    <w:rsid w:val="00717F7F"/>
    <w:rsid w:val="00720CFF"/>
    <w:rsid w:val="007229AC"/>
    <w:rsid w:val="00722C6E"/>
    <w:rsid w:val="00723C3C"/>
    <w:rsid w:val="00724B9C"/>
    <w:rsid w:val="0072533C"/>
    <w:rsid w:val="00725D90"/>
    <w:rsid w:val="00727F58"/>
    <w:rsid w:val="00730A01"/>
    <w:rsid w:val="00732FD1"/>
    <w:rsid w:val="00734CE6"/>
    <w:rsid w:val="0073638D"/>
    <w:rsid w:val="00737C59"/>
    <w:rsid w:val="00742EB4"/>
    <w:rsid w:val="00742FD5"/>
    <w:rsid w:val="0074555B"/>
    <w:rsid w:val="00746790"/>
    <w:rsid w:val="007469F1"/>
    <w:rsid w:val="00750451"/>
    <w:rsid w:val="007505D7"/>
    <w:rsid w:val="00750FC6"/>
    <w:rsid w:val="007513C1"/>
    <w:rsid w:val="0075153F"/>
    <w:rsid w:val="00753231"/>
    <w:rsid w:val="00753397"/>
    <w:rsid w:val="00753A1F"/>
    <w:rsid w:val="0075430B"/>
    <w:rsid w:val="00754BBB"/>
    <w:rsid w:val="00754C50"/>
    <w:rsid w:val="007551E6"/>
    <w:rsid w:val="0075750E"/>
    <w:rsid w:val="00757F68"/>
    <w:rsid w:val="0076281B"/>
    <w:rsid w:val="007628E7"/>
    <w:rsid w:val="00762C71"/>
    <w:rsid w:val="00764A43"/>
    <w:rsid w:val="007650CC"/>
    <w:rsid w:val="00766CAF"/>
    <w:rsid w:val="007670B6"/>
    <w:rsid w:val="00767451"/>
    <w:rsid w:val="00767636"/>
    <w:rsid w:val="00767D94"/>
    <w:rsid w:val="0077098C"/>
    <w:rsid w:val="007710C5"/>
    <w:rsid w:val="007711A1"/>
    <w:rsid w:val="007715BE"/>
    <w:rsid w:val="0077389F"/>
    <w:rsid w:val="00773FAE"/>
    <w:rsid w:val="0077491F"/>
    <w:rsid w:val="00774C48"/>
    <w:rsid w:val="0077556D"/>
    <w:rsid w:val="00775C61"/>
    <w:rsid w:val="00775C75"/>
    <w:rsid w:val="00776CA7"/>
    <w:rsid w:val="007773BA"/>
    <w:rsid w:val="00780228"/>
    <w:rsid w:val="00780630"/>
    <w:rsid w:val="007817F9"/>
    <w:rsid w:val="00781800"/>
    <w:rsid w:val="00782B17"/>
    <w:rsid w:val="0078306B"/>
    <w:rsid w:val="00784EBE"/>
    <w:rsid w:val="007870A5"/>
    <w:rsid w:val="00791AA5"/>
    <w:rsid w:val="00791EED"/>
    <w:rsid w:val="00792226"/>
    <w:rsid w:val="007933B0"/>
    <w:rsid w:val="00793A85"/>
    <w:rsid w:val="00794700"/>
    <w:rsid w:val="007948F9"/>
    <w:rsid w:val="007950DE"/>
    <w:rsid w:val="00797E61"/>
    <w:rsid w:val="00797F09"/>
    <w:rsid w:val="007A08C6"/>
    <w:rsid w:val="007A0EFA"/>
    <w:rsid w:val="007A1959"/>
    <w:rsid w:val="007A2C74"/>
    <w:rsid w:val="007A3176"/>
    <w:rsid w:val="007A35A8"/>
    <w:rsid w:val="007A3E7A"/>
    <w:rsid w:val="007A3F39"/>
    <w:rsid w:val="007A42AD"/>
    <w:rsid w:val="007A4CD5"/>
    <w:rsid w:val="007A5953"/>
    <w:rsid w:val="007A5AE4"/>
    <w:rsid w:val="007A6AC6"/>
    <w:rsid w:val="007A7466"/>
    <w:rsid w:val="007A7914"/>
    <w:rsid w:val="007B02C3"/>
    <w:rsid w:val="007B0900"/>
    <w:rsid w:val="007B1738"/>
    <w:rsid w:val="007B1A33"/>
    <w:rsid w:val="007B28AC"/>
    <w:rsid w:val="007B321F"/>
    <w:rsid w:val="007B3716"/>
    <w:rsid w:val="007B3BE6"/>
    <w:rsid w:val="007B5F67"/>
    <w:rsid w:val="007B6B1A"/>
    <w:rsid w:val="007B792D"/>
    <w:rsid w:val="007C0730"/>
    <w:rsid w:val="007C136E"/>
    <w:rsid w:val="007C4A00"/>
    <w:rsid w:val="007C4B2C"/>
    <w:rsid w:val="007C5158"/>
    <w:rsid w:val="007C5665"/>
    <w:rsid w:val="007C57B2"/>
    <w:rsid w:val="007C5B48"/>
    <w:rsid w:val="007C5CC2"/>
    <w:rsid w:val="007D1B14"/>
    <w:rsid w:val="007D20B8"/>
    <w:rsid w:val="007D37FA"/>
    <w:rsid w:val="007D3CD6"/>
    <w:rsid w:val="007D4C1A"/>
    <w:rsid w:val="007D51BB"/>
    <w:rsid w:val="007D563A"/>
    <w:rsid w:val="007D5ACD"/>
    <w:rsid w:val="007D6520"/>
    <w:rsid w:val="007D74FA"/>
    <w:rsid w:val="007D78C1"/>
    <w:rsid w:val="007D78E9"/>
    <w:rsid w:val="007D7CB1"/>
    <w:rsid w:val="007E0149"/>
    <w:rsid w:val="007E01BC"/>
    <w:rsid w:val="007E153E"/>
    <w:rsid w:val="007E1FF8"/>
    <w:rsid w:val="007E4CEF"/>
    <w:rsid w:val="007E4CFF"/>
    <w:rsid w:val="007E4E77"/>
    <w:rsid w:val="007E4FF2"/>
    <w:rsid w:val="007E57F5"/>
    <w:rsid w:val="007E65A3"/>
    <w:rsid w:val="007E688E"/>
    <w:rsid w:val="007E6A4E"/>
    <w:rsid w:val="007E6B2A"/>
    <w:rsid w:val="007E723D"/>
    <w:rsid w:val="007E76CC"/>
    <w:rsid w:val="007F00ED"/>
    <w:rsid w:val="007F0491"/>
    <w:rsid w:val="007F11E3"/>
    <w:rsid w:val="007F2836"/>
    <w:rsid w:val="007F29AC"/>
    <w:rsid w:val="007F2E2B"/>
    <w:rsid w:val="007F30D6"/>
    <w:rsid w:val="007F3151"/>
    <w:rsid w:val="007F39D0"/>
    <w:rsid w:val="007F441B"/>
    <w:rsid w:val="007F6119"/>
    <w:rsid w:val="007F62CF"/>
    <w:rsid w:val="00800934"/>
    <w:rsid w:val="00800EA1"/>
    <w:rsid w:val="008018DC"/>
    <w:rsid w:val="00802AF8"/>
    <w:rsid w:val="00803744"/>
    <w:rsid w:val="008037B2"/>
    <w:rsid w:val="0080486A"/>
    <w:rsid w:val="00804AB7"/>
    <w:rsid w:val="00807F2F"/>
    <w:rsid w:val="00811B84"/>
    <w:rsid w:val="00813536"/>
    <w:rsid w:val="00814F2B"/>
    <w:rsid w:val="00816813"/>
    <w:rsid w:val="00816903"/>
    <w:rsid w:val="00816E73"/>
    <w:rsid w:val="00820F29"/>
    <w:rsid w:val="00821159"/>
    <w:rsid w:val="0082169C"/>
    <w:rsid w:val="00821BC7"/>
    <w:rsid w:val="008223BC"/>
    <w:rsid w:val="00822C04"/>
    <w:rsid w:val="00822D56"/>
    <w:rsid w:val="00823CD7"/>
    <w:rsid w:val="00825269"/>
    <w:rsid w:val="008256F0"/>
    <w:rsid w:val="00826866"/>
    <w:rsid w:val="00826881"/>
    <w:rsid w:val="008276D6"/>
    <w:rsid w:val="0083122C"/>
    <w:rsid w:val="0083195C"/>
    <w:rsid w:val="00833266"/>
    <w:rsid w:val="00833542"/>
    <w:rsid w:val="00833C7A"/>
    <w:rsid w:val="0083503B"/>
    <w:rsid w:val="008367DE"/>
    <w:rsid w:val="00836BB4"/>
    <w:rsid w:val="008375B1"/>
    <w:rsid w:val="0083770B"/>
    <w:rsid w:val="0083796C"/>
    <w:rsid w:val="00840B0B"/>
    <w:rsid w:val="00841E3E"/>
    <w:rsid w:val="00842749"/>
    <w:rsid w:val="00844483"/>
    <w:rsid w:val="00845D3C"/>
    <w:rsid w:val="0084604C"/>
    <w:rsid w:val="00846C34"/>
    <w:rsid w:val="008475FF"/>
    <w:rsid w:val="008477A0"/>
    <w:rsid w:val="00847D00"/>
    <w:rsid w:val="008513E6"/>
    <w:rsid w:val="00852D6D"/>
    <w:rsid w:val="00853BBB"/>
    <w:rsid w:val="008563CF"/>
    <w:rsid w:val="008565EB"/>
    <w:rsid w:val="00856823"/>
    <w:rsid w:val="008608F2"/>
    <w:rsid w:val="0086131E"/>
    <w:rsid w:val="008616D0"/>
    <w:rsid w:val="00862EC3"/>
    <w:rsid w:val="00863B4D"/>
    <w:rsid w:val="008649FE"/>
    <w:rsid w:val="00864EB9"/>
    <w:rsid w:val="00864FAE"/>
    <w:rsid w:val="0086709A"/>
    <w:rsid w:val="008702CA"/>
    <w:rsid w:val="00870506"/>
    <w:rsid w:val="00870829"/>
    <w:rsid w:val="0087264F"/>
    <w:rsid w:val="00873255"/>
    <w:rsid w:val="008751F0"/>
    <w:rsid w:val="0087588A"/>
    <w:rsid w:val="008765E9"/>
    <w:rsid w:val="0087696C"/>
    <w:rsid w:val="00880D02"/>
    <w:rsid w:val="008813F5"/>
    <w:rsid w:val="0088196F"/>
    <w:rsid w:val="00881FD3"/>
    <w:rsid w:val="0088201A"/>
    <w:rsid w:val="00882C28"/>
    <w:rsid w:val="00883746"/>
    <w:rsid w:val="00883E5D"/>
    <w:rsid w:val="00884629"/>
    <w:rsid w:val="00885210"/>
    <w:rsid w:val="0088569E"/>
    <w:rsid w:val="00885844"/>
    <w:rsid w:val="008859E2"/>
    <w:rsid w:val="00887251"/>
    <w:rsid w:val="00887926"/>
    <w:rsid w:val="00887E66"/>
    <w:rsid w:val="00887FF7"/>
    <w:rsid w:val="00890167"/>
    <w:rsid w:val="00890288"/>
    <w:rsid w:val="0089032A"/>
    <w:rsid w:val="0089064D"/>
    <w:rsid w:val="00893546"/>
    <w:rsid w:val="008956CB"/>
    <w:rsid w:val="00896C9F"/>
    <w:rsid w:val="008978AA"/>
    <w:rsid w:val="008A1C1E"/>
    <w:rsid w:val="008A21D6"/>
    <w:rsid w:val="008A2E53"/>
    <w:rsid w:val="008A367E"/>
    <w:rsid w:val="008A5ED0"/>
    <w:rsid w:val="008A6386"/>
    <w:rsid w:val="008A6969"/>
    <w:rsid w:val="008B2A0C"/>
    <w:rsid w:val="008B2D0C"/>
    <w:rsid w:val="008B3651"/>
    <w:rsid w:val="008B48E8"/>
    <w:rsid w:val="008B5094"/>
    <w:rsid w:val="008B52FB"/>
    <w:rsid w:val="008B6B98"/>
    <w:rsid w:val="008B7A7B"/>
    <w:rsid w:val="008C0333"/>
    <w:rsid w:val="008C0DE4"/>
    <w:rsid w:val="008C17BC"/>
    <w:rsid w:val="008C2032"/>
    <w:rsid w:val="008C279B"/>
    <w:rsid w:val="008C34DC"/>
    <w:rsid w:val="008C4ACC"/>
    <w:rsid w:val="008C68DE"/>
    <w:rsid w:val="008C7BBB"/>
    <w:rsid w:val="008D065A"/>
    <w:rsid w:val="008D15A0"/>
    <w:rsid w:val="008D187E"/>
    <w:rsid w:val="008D307A"/>
    <w:rsid w:val="008D5430"/>
    <w:rsid w:val="008D6008"/>
    <w:rsid w:val="008E0009"/>
    <w:rsid w:val="008E0967"/>
    <w:rsid w:val="008E2412"/>
    <w:rsid w:val="008E25E6"/>
    <w:rsid w:val="008E28D6"/>
    <w:rsid w:val="008E3A95"/>
    <w:rsid w:val="008E40B9"/>
    <w:rsid w:val="008E4AE2"/>
    <w:rsid w:val="008E4EB1"/>
    <w:rsid w:val="008E62CD"/>
    <w:rsid w:val="008E6D8A"/>
    <w:rsid w:val="008F1739"/>
    <w:rsid w:val="008F1DE0"/>
    <w:rsid w:val="008F2A50"/>
    <w:rsid w:val="008F4BD0"/>
    <w:rsid w:val="008F4D8B"/>
    <w:rsid w:val="008F4E34"/>
    <w:rsid w:val="008F4E71"/>
    <w:rsid w:val="008F5C20"/>
    <w:rsid w:val="008F63B9"/>
    <w:rsid w:val="008F6F9A"/>
    <w:rsid w:val="008F7411"/>
    <w:rsid w:val="008F7D4D"/>
    <w:rsid w:val="00900396"/>
    <w:rsid w:val="009009FB"/>
    <w:rsid w:val="009017B8"/>
    <w:rsid w:val="00902DA7"/>
    <w:rsid w:val="00903224"/>
    <w:rsid w:val="00904957"/>
    <w:rsid w:val="00904AB2"/>
    <w:rsid w:val="00904B64"/>
    <w:rsid w:val="009054BD"/>
    <w:rsid w:val="0090573F"/>
    <w:rsid w:val="00906F9F"/>
    <w:rsid w:val="0090707F"/>
    <w:rsid w:val="009100A5"/>
    <w:rsid w:val="00910E46"/>
    <w:rsid w:val="009115FE"/>
    <w:rsid w:val="0091226A"/>
    <w:rsid w:val="009125F4"/>
    <w:rsid w:val="009128CA"/>
    <w:rsid w:val="0091295B"/>
    <w:rsid w:val="00912E83"/>
    <w:rsid w:val="00912E9A"/>
    <w:rsid w:val="009156BB"/>
    <w:rsid w:val="00915711"/>
    <w:rsid w:val="009157EE"/>
    <w:rsid w:val="0091630D"/>
    <w:rsid w:val="009173B9"/>
    <w:rsid w:val="00920649"/>
    <w:rsid w:val="0092168F"/>
    <w:rsid w:val="00921716"/>
    <w:rsid w:val="0092201B"/>
    <w:rsid w:val="00923EBB"/>
    <w:rsid w:val="009245D4"/>
    <w:rsid w:val="009249A9"/>
    <w:rsid w:val="00924B02"/>
    <w:rsid w:val="00924B05"/>
    <w:rsid w:val="009250C2"/>
    <w:rsid w:val="00925404"/>
    <w:rsid w:val="0092572B"/>
    <w:rsid w:val="009257E6"/>
    <w:rsid w:val="00925AA9"/>
    <w:rsid w:val="0092603D"/>
    <w:rsid w:val="00926594"/>
    <w:rsid w:val="00927238"/>
    <w:rsid w:val="00927F7E"/>
    <w:rsid w:val="009319E6"/>
    <w:rsid w:val="00931EC9"/>
    <w:rsid w:val="009332A7"/>
    <w:rsid w:val="009332A9"/>
    <w:rsid w:val="00933753"/>
    <w:rsid w:val="00933D86"/>
    <w:rsid w:val="00933DA9"/>
    <w:rsid w:val="00934FFA"/>
    <w:rsid w:val="00935F73"/>
    <w:rsid w:val="00936104"/>
    <w:rsid w:val="009363A6"/>
    <w:rsid w:val="00936FBA"/>
    <w:rsid w:val="009371DB"/>
    <w:rsid w:val="0093734F"/>
    <w:rsid w:val="009410D9"/>
    <w:rsid w:val="0094162B"/>
    <w:rsid w:val="00943256"/>
    <w:rsid w:val="0094330D"/>
    <w:rsid w:val="00944340"/>
    <w:rsid w:val="009446D2"/>
    <w:rsid w:val="00944822"/>
    <w:rsid w:val="00945045"/>
    <w:rsid w:val="00945B4F"/>
    <w:rsid w:val="00946A79"/>
    <w:rsid w:val="00946BA6"/>
    <w:rsid w:val="00947A48"/>
    <w:rsid w:val="009502CF"/>
    <w:rsid w:val="00950C22"/>
    <w:rsid w:val="00950D32"/>
    <w:rsid w:val="00951325"/>
    <w:rsid w:val="00952A47"/>
    <w:rsid w:val="0095379B"/>
    <w:rsid w:val="009542C6"/>
    <w:rsid w:val="00955409"/>
    <w:rsid w:val="00955F84"/>
    <w:rsid w:val="009571A9"/>
    <w:rsid w:val="00957335"/>
    <w:rsid w:val="009576EE"/>
    <w:rsid w:val="009578EA"/>
    <w:rsid w:val="009618B9"/>
    <w:rsid w:val="00961ACE"/>
    <w:rsid w:val="00963509"/>
    <w:rsid w:val="00964DD3"/>
    <w:rsid w:val="009659FA"/>
    <w:rsid w:val="00965BB9"/>
    <w:rsid w:val="00965CE7"/>
    <w:rsid w:val="00966861"/>
    <w:rsid w:val="00967607"/>
    <w:rsid w:val="00967B6A"/>
    <w:rsid w:val="0097147D"/>
    <w:rsid w:val="00973E83"/>
    <w:rsid w:val="00974C02"/>
    <w:rsid w:val="0097538F"/>
    <w:rsid w:val="009753D2"/>
    <w:rsid w:val="00980F1D"/>
    <w:rsid w:val="00981893"/>
    <w:rsid w:val="00982E1A"/>
    <w:rsid w:val="00983930"/>
    <w:rsid w:val="00983941"/>
    <w:rsid w:val="009855F2"/>
    <w:rsid w:val="009876BE"/>
    <w:rsid w:val="00987C53"/>
    <w:rsid w:val="00990B60"/>
    <w:rsid w:val="00990B70"/>
    <w:rsid w:val="009913DF"/>
    <w:rsid w:val="0099252C"/>
    <w:rsid w:val="009926CD"/>
    <w:rsid w:val="00992A35"/>
    <w:rsid w:val="0099501D"/>
    <w:rsid w:val="00995F72"/>
    <w:rsid w:val="009960CB"/>
    <w:rsid w:val="00996337"/>
    <w:rsid w:val="00996EC0"/>
    <w:rsid w:val="00997799"/>
    <w:rsid w:val="009A10F4"/>
    <w:rsid w:val="009A1262"/>
    <w:rsid w:val="009A17FB"/>
    <w:rsid w:val="009A1DDD"/>
    <w:rsid w:val="009A2548"/>
    <w:rsid w:val="009A4248"/>
    <w:rsid w:val="009A50F0"/>
    <w:rsid w:val="009A5739"/>
    <w:rsid w:val="009A60CC"/>
    <w:rsid w:val="009A6BB8"/>
    <w:rsid w:val="009A7436"/>
    <w:rsid w:val="009A755E"/>
    <w:rsid w:val="009A7B2C"/>
    <w:rsid w:val="009B299F"/>
    <w:rsid w:val="009B2BBF"/>
    <w:rsid w:val="009B2DB9"/>
    <w:rsid w:val="009B3B75"/>
    <w:rsid w:val="009B54B7"/>
    <w:rsid w:val="009B5A42"/>
    <w:rsid w:val="009B78D1"/>
    <w:rsid w:val="009C07CC"/>
    <w:rsid w:val="009C1F61"/>
    <w:rsid w:val="009C2055"/>
    <w:rsid w:val="009C356C"/>
    <w:rsid w:val="009C3C53"/>
    <w:rsid w:val="009C4F8F"/>
    <w:rsid w:val="009C5FCB"/>
    <w:rsid w:val="009C6379"/>
    <w:rsid w:val="009C736F"/>
    <w:rsid w:val="009C78DF"/>
    <w:rsid w:val="009C78F6"/>
    <w:rsid w:val="009D0AF2"/>
    <w:rsid w:val="009D0B00"/>
    <w:rsid w:val="009D115C"/>
    <w:rsid w:val="009D14DD"/>
    <w:rsid w:val="009D247C"/>
    <w:rsid w:val="009D24D7"/>
    <w:rsid w:val="009D2539"/>
    <w:rsid w:val="009D2B76"/>
    <w:rsid w:val="009D2CFC"/>
    <w:rsid w:val="009D373D"/>
    <w:rsid w:val="009D394D"/>
    <w:rsid w:val="009D3BC2"/>
    <w:rsid w:val="009D3D6E"/>
    <w:rsid w:val="009D498E"/>
    <w:rsid w:val="009D51B7"/>
    <w:rsid w:val="009D63EA"/>
    <w:rsid w:val="009E0A7C"/>
    <w:rsid w:val="009E0CEF"/>
    <w:rsid w:val="009E19AD"/>
    <w:rsid w:val="009E1F05"/>
    <w:rsid w:val="009E2119"/>
    <w:rsid w:val="009E287C"/>
    <w:rsid w:val="009E4CAB"/>
    <w:rsid w:val="009E5206"/>
    <w:rsid w:val="009E53F3"/>
    <w:rsid w:val="009E6AAA"/>
    <w:rsid w:val="009E7730"/>
    <w:rsid w:val="009F01AC"/>
    <w:rsid w:val="009F0C17"/>
    <w:rsid w:val="009F1506"/>
    <w:rsid w:val="009F1A36"/>
    <w:rsid w:val="009F2B07"/>
    <w:rsid w:val="009F45DF"/>
    <w:rsid w:val="009F56BB"/>
    <w:rsid w:val="009F5D99"/>
    <w:rsid w:val="009F724A"/>
    <w:rsid w:val="00A00477"/>
    <w:rsid w:val="00A004CA"/>
    <w:rsid w:val="00A01168"/>
    <w:rsid w:val="00A01F6B"/>
    <w:rsid w:val="00A02845"/>
    <w:rsid w:val="00A02D18"/>
    <w:rsid w:val="00A035E1"/>
    <w:rsid w:val="00A04F9C"/>
    <w:rsid w:val="00A051A3"/>
    <w:rsid w:val="00A06600"/>
    <w:rsid w:val="00A06C2E"/>
    <w:rsid w:val="00A06DBE"/>
    <w:rsid w:val="00A101F5"/>
    <w:rsid w:val="00A11695"/>
    <w:rsid w:val="00A11E68"/>
    <w:rsid w:val="00A12B06"/>
    <w:rsid w:val="00A132AE"/>
    <w:rsid w:val="00A1395D"/>
    <w:rsid w:val="00A143CB"/>
    <w:rsid w:val="00A146C1"/>
    <w:rsid w:val="00A1487B"/>
    <w:rsid w:val="00A14966"/>
    <w:rsid w:val="00A16DCF"/>
    <w:rsid w:val="00A16F93"/>
    <w:rsid w:val="00A17AD7"/>
    <w:rsid w:val="00A17AEC"/>
    <w:rsid w:val="00A17E9A"/>
    <w:rsid w:val="00A20A45"/>
    <w:rsid w:val="00A22231"/>
    <w:rsid w:val="00A2297A"/>
    <w:rsid w:val="00A22F1E"/>
    <w:rsid w:val="00A232F3"/>
    <w:rsid w:val="00A26A09"/>
    <w:rsid w:val="00A26A0A"/>
    <w:rsid w:val="00A3061F"/>
    <w:rsid w:val="00A30961"/>
    <w:rsid w:val="00A30C59"/>
    <w:rsid w:val="00A314D7"/>
    <w:rsid w:val="00A32D45"/>
    <w:rsid w:val="00A33AA0"/>
    <w:rsid w:val="00A347C7"/>
    <w:rsid w:val="00A3587C"/>
    <w:rsid w:val="00A365A5"/>
    <w:rsid w:val="00A368AF"/>
    <w:rsid w:val="00A36F9A"/>
    <w:rsid w:val="00A4007B"/>
    <w:rsid w:val="00A40A55"/>
    <w:rsid w:val="00A4134F"/>
    <w:rsid w:val="00A41D2E"/>
    <w:rsid w:val="00A4212A"/>
    <w:rsid w:val="00A43170"/>
    <w:rsid w:val="00A43661"/>
    <w:rsid w:val="00A43811"/>
    <w:rsid w:val="00A43A4F"/>
    <w:rsid w:val="00A468FF"/>
    <w:rsid w:val="00A471FF"/>
    <w:rsid w:val="00A47A6A"/>
    <w:rsid w:val="00A51100"/>
    <w:rsid w:val="00A533B9"/>
    <w:rsid w:val="00A53430"/>
    <w:rsid w:val="00A53A6A"/>
    <w:rsid w:val="00A53E80"/>
    <w:rsid w:val="00A54679"/>
    <w:rsid w:val="00A56C89"/>
    <w:rsid w:val="00A56EE0"/>
    <w:rsid w:val="00A571CA"/>
    <w:rsid w:val="00A57315"/>
    <w:rsid w:val="00A61548"/>
    <w:rsid w:val="00A62524"/>
    <w:rsid w:val="00A6308C"/>
    <w:rsid w:val="00A630BC"/>
    <w:rsid w:val="00A6456D"/>
    <w:rsid w:val="00A647E9"/>
    <w:rsid w:val="00A65917"/>
    <w:rsid w:val="00A65C95"/>
    <w:rsid w:val="00A65E8D"/>
    <w:rsid w:val="00A719A4"/>
    <w:rsid w:val="00A7200F"/>
    <w:rsid w:val="00A72215"/>
    <w:rsid w:val="00A73141"/>
    <w:rsid w:val="00A7340A"/>
    <w:rsid w:val="00A7464E"/>
    <w:rsid w:val="00A74CBC"/>
    <w:rsid w:val="00A77278"/>
    <w:rsid w:val="00A81B73"/>
    <w:rsid w:val="00A82E8E"/>
    <w:rsid w:val="00A833FD"/>
    <w:rsid w:val="00A83872"/>
    <w:rsid w:val="00A853F1"/>
    <w:rsid w:val="00A856BE"/>
    <w:rsid w:val="00A86203"/>
    <w:rsid w:val="00A86793"/>
    <w:rsid w:val="00A86A3C"/>
    <w:rsid w:val="00A87F00"/>
    <w:rsid w:val="00A903EC"/>
    <w:rsid w:val="00A9080A"/>
    <w:rsid w:val="00A9154A"/>
    <w:rsid w:val="00A93524"/>
    <w:rsid w:val="00A93E87"/>
    <w:rsid w:val="00A94CE4"/>
    <w:rsid w:val="00A9595F"/>
    <w:rsid w:val="00AA03E0"/>
    <w:rsid w:val="00AA5CD1"/>
    <w:rsid w:val="00AA6042"/>
    <w:rsid w:val="00AA6D16"/>
    <w:rsid w:val="00AA7414"/>
    <w:rsid w:val="00AB07EE"/>
    <w:rsid w:val="00AB1A1D"/>
    <w:rsid w:val="00AB1AB1"/>
    <w:rsid w:val="00AB1B11"/>
    <w:rsid w:val="00AB5641"/>
    <w:rsid w:val="00AB67EC"/>
    <w:rsid w:val="00AB69F6"/>
    <w:rsid w:val="00AB7465"/>
    <w:rsid w:val="00AB7B43"/>
    <w:rsid w:val="00AB7EE6"/>
    <w:rsid w:val="00AC0B30"/>
    <w:rsid w:val="00AC0B43"/>
    <w:rsid w:val="00AC3E64"/>
    <w:rsid w:val="00AC3F97"/>
    <w:rsid w:val="00AC55F4"/>
    <w:rsid w:val="00AC62A0"/>
    <w:rsid w:val="00AC6E19"/>
    <w:rsid w:val="00AC7B2A"/>
    <w:rsid w:val="00AD0471"/>
    <w:rsid w:val="00AD1295"/>
    <w:rsid w:val="00AD13F2"/>
    <w:rsid w:val="00AD1D83"/>
    <w:rsid w:val="00AD2317"/>
    <w:rsid w:val="00AD2686"/>
    <w:rsid w:val="00AD32C7"/>
    <w:rsid w:val="00AD5DA6"/>
    <w:rsid w:val="00AE2441"/>
    <w:rsid w:val="00AE2783"/>
    <w:rsid w:val="00AE2922"/>
    <w:rsid w:val="00AE3139"/>
    <w:rsid w:val="00AE3370"/>
    <w:rsid w:val="00AE4178"/>
    <w:rsid w:val="00AE6289"/>
    <w:rsid w:val="00AE6A3B"/>
    <w:rsid w:val="00AE7FD6"/>
    <w:rsid w:val="00AF0243"/>
    <w:rsid w:val="00AF02BE"/>
    <w:rsid w:val="00AF090F"/>
    <w:rsid w:val="00AF0991"/>
    <w:rsid w:val="00AF0D43"/>
    <w:rsid w:val="00AF0F46"/>
    <w:rsid w:val="00AF163C"/>
    <w:rsid w:val="00AF1A4D"/>
    <w:rsid w:val="00AF22FC"/>
    <w:rsid w:val="00AF3075"/>
    <w:rsid w:val="00AF3C02"/>
    <w:rsid w:val="00AF4D3F"/>
    <w:rsid w:val="00AF555C"/>
    <w:rsid w:val="00AF582A"/>
    <w:rsid w:val="00AF5A01"/>
    <w:rsid w:val="00AF6B7D"/>
    <w:rsid w:val="00B0002E"/>
    <w:rsid w:val="00B00C8A"/>
    <w:rsid w:val="00B00CF9"/>
    <w:rsid w:val="00B00FB9"/>
    <w:rsid w:val="00B01581"/>
    <w:rsid w:val="00B02A13"/>
    <w:rsid w:val="00B02D05"/>
    <w:rsid w:val="00B03254"/>
    <w:rsid w:val="00B048E8"/>
    <w:rsid w:val="00B04961"/>
    <w:rsid w:val="00B04E3F"/>
    <w:rsid w:val="00B05A76"/>
    <w:rsid w:val="00B06663"/>
    <w:rsid w:val="00B06F03"/>
    <w:rsid w:val="00B075E8"/>
    <w:rsid w:val="00B10448"/>
    <w:rsid w:val="00B106DE"/>
    <w:rsid w:val="00B10DF1"/>
    <w:rsid w:val="00B12337"/>
    <w:rsid w:val="00B13A6D"/>
    <w:rsid w:val="00B14280"/>
    <w:rsid w:val="00B145D2"/>
    <w:rsid w:val="00B1461C"/>
    <w:rsid w:val="00B147FB"/>
    <w:rsid w:val="00B15DAF"/>
    <w:rsid w:val="00B16187"/>
    <w:rsid w:val="00B16717"/>
    <w:rsid w:val="00B201D5"/>
    <w:rsid w:val="00B20DCE"/>
    <w:rsid w:val="00B21363"/>
    <w:rsid w:val="00B21597"/>
    <w:rsid w:val="00B217EA"/>
    <w:rsid w:val="00B226BB"/>
    <w:rsid w:val="00B22B87"/>
    <w:rsid w:val="00B22DF1"/>
    <w:rsid w:val="00B233E0"/>
    <w:rsid w:val="00B25796"/>
    <w:rsid w:val="00B33366"/>
    <w:rsid w:val="00B33FDA"/>
    <w:rsid w:val="00B342CE"/>
    <w:rsid w:val="00B344A7"/>
    <w:rsid w:val="00B352C3"/>
    <w:rsid w:val="00B361CF"/>
    <w:rsid w:val="00B36475"/>
    <w:rsid w:val="00B36838"/>
    <w:rsid w:val="00B372C8"/>
    <w:rsid w:val="00B409E6"/>
    <w:rsid w:val="00B41458"/>
    <w:rsid w:val="00B414DA"/>
    <w:rsid w:val="00B4161F"/>
    <w:rsid w:val="00B416AF"/>
    <w:rsid w:val="00B4360C"/>
    <w:rsid w:val="00B43FCC"/>
    <w:rsid w:val="00B45EC0"/>
    <w:rsid w:val="00B46015"/>
    <w:rsid w:val="00B46055"/>
    <w:rsid w:val="00B471A2"/>
    <w:rsid w:val="00B51DDE"/>
    <w:rsid w:val="00B555AD"/>
    <w:rsid w:val="00B57251"/>
    <w:rsid w:val="00B575E0"/>
    <w:rsid w:val="00B5761E"/>
    <w:rsid w:val="00B600C6"/>
    <w:rsid w:val="00B60301"/>
    <w:rsid w:val="00B60753"/>
    <w:rsid w:val="00B608E3"/>
    <w:rsid w:val="00B60C53"/>
    <w:rsid w:val="00B60C9C"/>
    <w:rsid w:val="00B61496"/>
    <w:rsid w:val="00B62BA5"/>
    <w:rsid w:val="00B63282"/>
    <w:rsid w:val="00B6408D"/>
    <w:rsid w:val="00B64E34"/>
    <w:rsid w:val="00B6533E"/>
    <w:rsid w:val="00B66022"/>
    <w:rsid w:val="00B6604D"/>
    <w:rsid w:val="00B70018"/>
    <w:rsid w:val="00B70212"/>
    <w:rsid w:val="00B70971"/>
    <w:rsid w:val="00B71463"/>
    <w:rsid w:val="00B73067"/>
    <w:rsid w:val="00B743B5"/>
    <w:rsid w:val="00B75CDE"/>
    <w:rsid w:val="00B810B9"/>
    <w:rsid w:val="00B83274"/>
    <w:rsid w:val="00B8413E"/>
    <w:rsid w:val="00B84DBB"/>
    <w:rsid w:val="00B85275"/>
    <w:rsid w:val="00B8603D"/>
    <w:rsid w:val="00B86532"/>
    <w:rsid w:val="00B87AA9"/>
    <w:rsid w:val="00B87E5D"/>
    <w:rsid w:val="00B91DDD"/>
    <w:rsid w:val="00B93366"/>
    <w:rsid w:val="00B943FB"/>
    <w:rsid w:val="00B94AA0"/>
    <w:rsid w:val="00B963B4"/>
    <w:rsid w:val="00B96C85"/>
    <w:rsid w:val="00BA0D38"/>
    <w:rsid w:val="00BA3AA9"/>
    <w:rsid w:val="00BA46C7"/>
    <w:rsid w:val="00BA4C6C"/>
    <w:rsid w:val="00BA57DB"/>
    <w:rsid w:val="00BA61EA"/>
    <w:rsid w:val="00BA651A"/>
    <w:rsid w:val="00BA71AA"/>
    <w:rsid w:val="00BA72B6"/>
    <w:rsid w:val="00BA7AB1"/>
    <w:rsid w:val="00BA7F90"/>
    <w:rsid w:val="00BB1562"/>
    <w:rsid w:val="00BB31F4"/>
    <w:rsid w:val="00BB34FD"/>
    <w:rsid w:val="00BB5356"/>
    <w:rsid w:val="00BB5C90"/>
    <w:rsid w:val="00BB73A9"/>
    <w:rsid w:val="00BC0138"/>
    <w:rsid w:val="00BC12E4"/>
    <w:rsid w:val="00BC18F7"/>
    <w:rsid w:val="00BC1969"/>
    <w:rsid w:val="00BC245B"/>
    <w:rsid w:val="00BC33DE"/>
    <w:rsid w:val="00BC3B05"/>
    <w:rsid w:val="00BC5B7A"/>
    <w:rsid w:val="00BC63A6"/>
    <w:rsid w:val="00BC63FC"/>
    <w:rsid w:val="00BC7FEE"/>
    <w:rsid w:val="00BD1307"/>
    <w:rsid w:val="00BD156D"/>
    <w:rsid w:val="00BD203A"/>
    <w:rsid w:val="00BD2359"/>
    <w:rsid w:val="00BD2A40"/>
    <w:rsid w:val="00BD2FB0"/>
    <w:rsid w:val="00BD48C4"/>
    <w:rsid w:val="00BD5EA4"/>
    <w:rsid w:val="00BD649A"/>
    <w:rsid w:val="00BE1AB0"/>
    <w:rsid w:val="00BE26CF"/>
    <w:rsid w:val="00BE30C9"/>
    <w:rsid w:val="00BE33E3"/>
    <w:rsid w:val="00BE4690"/>
    <w:rsid w:val="00BE58D8"/>
    <w:rsid w:val="00BE637D"/>
    <w:rsid w:val="00BE643D"/>
    <w:rsid w:val="00BE7EF5"/>
    <w:rsid w:val="00BF116B"/>
    <w:rsid w:val="00BF13E8"/>
    <w:rsid w:val="00BF1E55"/>
    <w:rsid w:val="00BF2008"/>
    <w:rsid w:val="00BF381C"/>
    <w:rsid w:val="00BF4508"/>
    <w:rsid w:val="00BF51B7"/>
    <w:rsid w:val="00BF5993"/>
    <w:rsid w:val="00BF5AB6"/>
    <w:rsid w:val="00BF5D10"/>
    <w:rsid w:val="00BF690E"/>
    <w:rsid w:val="00BF7282"/>
    <w:rsid w:val="00C004D5"/>
    <w:rsid w:val="00C00E0E"/>
    <w:rsid w:val="00C0290F"/>
    <w:rsid w:val="00C02BF6"/>
    <w:rsid w:val="00C03182"/>
    <w:rsid w:val="00C058D3"/>
    <w:rsid w:val="00C05ADD"/>
    <w:rsid w:val="00C06854"/>
    <w:rsid w:val="00C06C04"/>
    <w:rsid w:val="00C07E1C"/>
    <w:rsid w:val="00C100EE"/>
    <w:rsid w:val="00C105C0"/>
    <w:rsid w:val="00C11BC1"/>
    <w:rsid w:val="00C1227E"/>
    <w:rsid w:val="00C12D31"/>
    <w:rsid w:val="00C1323C"/>
    <w:rsid w:val="00C138A2"/>
    <w:rsid w:val="00C15E60"/>
    <w:rsid w:val="00C16C48"/>
    <w:rsid w:val="00C170CB"/>
    <w:rsid w:val="00C17169"/>
    <w:rsid w:val="00C17F06"/>
    <w:rsid w:val="00C228F6"/>
    <w:rsid w:val="00C229AE"/>
    <w:rsid w:val="00C23DBF"/>
    <w:rsid w:val="00C250C1"/>
    <w:rsid w:val="00C252AB"/>
    <w:rsid w:val="00C2574E"/>
    <w:rsid w:val="00C26DE0"/>
    <w:rsid w:val="00C26FE5"/>
    <w:rsid w:val="00C27086"/>
    <w:rsid w:val="00C274A6"/>
    <w:rsid w:val="00C274D0"/>
    <w:rsid w:val="00C27F04"/>
    <w:rsid w:val="00C304C3"/>
    <w:rsid w:val="00C30C66"/>
    <w:rsid w:val="00C31371"/>
    <w:rsid w:val="00C31E47"/>
    <w:rsid w:val="00C32800"/>
    <w:rsid w:val="00C340A5"/>
    <w:rsid w:val="00C34AC8"/>
    <w:rsid w:val="00C34E28"/>
    <w:rsid w:val="00C36725"/>
    <w:rsid w:val="00C369F5"/>
    <w:rsid w:val="00C36A19"/>
    <w:rsid w:val="00C36CB2"/>
    <w:rsid w:val="00C37D4F"/>
    <w:rsid w:val="00C4024D"/>
    <w:rsid w:val="00C40C45"/>
    <w:rsid w:val="00C41491"/>
    <w:rsid w:val="00C41E0C"/>
    <w:rsid w:val="00C42A55"/>
    <w:rsid w:val="00C42B76"/>
    <w:rsid w:val="00C433F3"/>
    <w:rsid w:val="00C439FE"/>
    <w:rsid w:val="00C445A6"/>
    <w:rsid w:val="00C4484D"/>
    <w:rsid w:val="00C449D5"/>
    <w:rsid w:val="00C46969"/>
    <w:rsid w:val="00C46FA1"/>
    <w:rsid w:val="00C5251F"/>
    <w:rsid w:val="00C52E1C"/>
    <w:rsid w:val="00C537AF"/>
    <w:rsid w:val="00C54E72"/>
    <w:rsid w:val="00C556F3"/>
    <w:rsid w:val="00C55973"/>
    <w:rsid w:val="00C55BD3"/>
    <w:rsid w:val="00C55E18"/>
    <w:rsid w:val="00C5745B"/>
    <w:rsid w:val="00C575B1"/>
    <w:rsid w:val="00C57A78"/>
    <w:rsid w:val="00C604FC"/>
    <w:rsid w:val="00C63394"/>
    <w:rsid w:val="00C63BBD"/>
    <w:rsid w:val="00C648F8"/>
    <w:rsid w:val="00C67D9D"/>
    <w:rsid w:val="00C67E32"/>
    <w:rsid w:val="00C708D9"/>
    <w:rsid w:val="00C70A99"/>
    <w:rsid w:val="00C7210D"/>
    <w:rsid w:val="00C72C66"/>
    <w:rsid w:val="00C73B7F"/>
    <w:rsid w:val="00C75024"/>
    <w:rsid w:val="00C75101"/>
    <w:rsid w:val="00C7514F"/>
    <w:rsid w:val="00C76023"/>
    <w:rsid w:val="00C76243"/>
    <w:rsid w:val="00C766A4"/>
    <w:rsid w:val="00C771B4"/>
    <w:rsid w:val="00C77581"/>
    <w:rsid w:val="00C777F1"/>
    <w:rsid w:val="00C803E2"/>
    <w:rsid w:val="00C80780"/>
    <w:rsid w:val="00C80A40"/>
    <w:rsid w:val="00C80A59"/>
    <w:rsid w:val="00C813E1"/>
    <w:rsid w:val="00C817DB"/>
    <w:rsid w:val="00C82289"/>
    <w:rsid w:val="00C8255B"/>
    <w:rsid w:val="00C82837"/>
    <w:rsid w:val="00C83B6B"/>
    <w:rsid w:val="00C8506E"/>
    <w:rsid w:val="00C850A2"/>
    <w:rsid w:val="00C8565D"/>
    <w:rsid w:val="00C85AB6"/>
    <w:rsid w:val="00C86265"/>
    <w:rsid w:val="00C864C4"/>
    <w:rsid w:val="00C91AED"/>
    <w:rsid w:val="00C9519B"/>
    <w:rsid w:val="00C97680"/>
    <w:rsid w:val="00CA0112"/>
    <w:rsid w:val="00CA06AA"/>
    <w:rsid w:val="00CA1C27"/>
    <w:rsid w:val="00CA1DCE"/>
    <w:rsid w:val="00CA47B5"/>
    <w:rsid w:val="00CA61D4"/>
    <w:rsid w:val="00CA6BDD"/>
    <w:rsid w:val="00CA7AB6"/>
    <w:rsid w:val="00CA7BC9"/>
    <w:rsid w:val="00CB01AE"/>
    <w:rsid w:val="00CB03BB"/>
    <w:rsid w:val="00CB25AE"/>
    <w:rsid w:val="00CB271A"/>
    <w:rsid w:val="00CB28A9"/>
    <w:rsid w:val="00CB2B54"/>
    <w:rsid w:val="00CB341E"/>
    <w:rsid w:val="00CB492E"/>
    <w:rsid w:val="00CB56B8"/>
    <w:rsid w:val="00CB656F"/>
    <w:rsid w:val="00CB6789"/>
    <w:rsid w:val="00CB79C1"/>
    <w:rsid w:val="00CC302C"/>
    <w:rsid w:val="00CC57D1"/>
    <w:rsid w:val="00CC5BE6"/>
    <w:rsid w:val="00CC5FE8"/>
    <w:rsid w:val="00CC6204"/>
    <w:rsid w:val="00CC6E19"/>
    <w:rsid w:val="00CC6E4C"/>
    <w:rsid w:val="00CC7D25"/>
    <w:rsid w:val="00CD0519"/>
    <w:rsid w:val="00CD1CF1"/>
    <w:rsid w:val="00CD2200"/>
    <w:rsid w:val="00CD2C9E"/>
    <w:rsid w:val="00CD533A"/>
    <w:rsid w:val="00CD67BD"/>
    <w:rsid w:val="00CD69E5"/>
    <w:rsid w:val="00CD6C0F"/>
    <w:rsid w:val="00CD73FA"/>
    <w:rsid w:val="00CD7731"/>
    <w:rsid w:val="00CD792C"/>
    <w:rsid w:val="00CD7E10"/>
    <w:rsid w:val="00CE1302"/>
    <w:rsid w:val="00CE130D"/>
    <w:rsid w:val="00CE1AAE"/>
    <w:rsid w:val="00CE1F50"/>
    <w:rsid w:val="00CE319C"/>
    <w:rsid w:val="00CE3ABF"/>
    <w:rsid w:val="00CE4049"/>
    <w:rsid w:val="00CE45EB"/>
    <w:rsid w:val="00CE4F6C"/>
    <w:rsid w:val="00CE5E25"/>
    <w:rsid w:val="00CE60A8"/>
    <w:rsid w:val="00CE6E81"/>
    <w:rsid w:val="00CF036C"/>
    <w:rsid w:val="00CF0755"/>
    <w:rsid w:val="00CF0DD8"/>
    <w:rsid w:val="00CF0E28"/>
    <w:rsid w:val="00CF0FDB"/>
    <w:rsid w:val="00CF1082"/>
    <w:rsid w:val="00CF10E2"/>
    <w:rsid w:val="00CF12E7"/>
    <w:rsid w:val="00CF1988"/>
    <w:rsid w:val="00CF20EC"/>
    <w:rsid w:val="00CF2474"/>
    <w:rsid w:val="00CF2FE5"/>
    <w:rsid w:val="00CF3B0E"/>
    <w:rsid w:val="00CF4BCF"/>
    <w:rsid w:val="00CF5FF4"/>
    <w:rsid w:val="00CF668C"/>
    <w:rsid w:val="00CF6D38"/>
    <w:rsid w:val="00CF720D"/>
    <w:rsid w:val="00CF7746"/>
    <w:rsid w:val="00CF7C9A"/>
    <w:rsid w:val="00D006D5"/>
    <w:rsid w:val="00D00A92"/>
    <w:rsid w:val="00D00CB7"/>
    <w:rsid w:val="00D0118E"/>
    <w:rsid w:val="00D0147D"/>
    <w:rsid w:val="00D0158E"/>
    <w:rsid w:val="00D02690"/>
    <w:rsid w:val="00D02702"/>
    <w:rsid w:val="00D043A6"/>
    <w:rsid w:val="00D04ECB"/>
    <w:rsid w:val="00D05522"/>
    <w:rsid w:val="00D0612D"/>
    <w:rsid w:val="00D0734C"/>
    <w:rsid w:val="00D07514"/>
    <w:rsid w:val="00D10C9A"/>
    <w:rsid w:val="00D1178C"/>
    <w:rsid w:val="00D12A26"/>
    <w:rsid w:val="00D12E54"/>
    <w:rsid w:val="00D12EE0"/>
    <w:rsid w:val="00D12F81"/>
    <w:rsid w:val="00D136B6"/>
    <w:rsid w:val="00D1374E"/>
    <w:rsid w:val="00D13EAC"/>
    <w:rsid w:val="00D14634"/>
    <w:rsid w:val="00D1478C"/>
    <w:rsid w:val="00D1551E"/>
    <w:rsid w:val="00D15C68"/>
    <w:rsid w:val="00D1612D"/>
    <w:rsid w:val="00D161A1"/>
    <w:rsid w:val="00D1646F"/>
    <w:rsid w:val="00D16D42"/>
    <w:rsid w:val="00D17AE3"/>
    <w:rsid w:val="00D20571"/>
    <w:rsid w:val="00D206FB"/>
    <w:rsid w:val="00D2071A"/>
    <w:rsid w:val="00D208AB"/>
    <w:rsid w:val="00D215C5"/>
    <w:rsid w:val="00D2189E"/>
    <w:rsid w:val="00D22290"/>
    <w:rsid w:val="00D2277B"/>
    <w:rsid w:val="00D22CB4"/>
    <w:rsid w:val="00D23511"/>
    <w:rsid w:val="00D24A76"/>
    <w:rsid w:val="00D250CD"/>
    <w:rsid w:val="00D25C90"/>
    <w:rsid w:val="00D2664C"/>
    <w:rsid w:val="00D32DE4"/>
    <w:rsid w:val="00D34789"/>
    <w:rsid w:val="00D349EE"/>
    <w:rsid w:val="00D36577"/>
    <w:rsid w:val="00D369F7"/>
    <w:rsid w:val="00D3734E"/>
    <w:rsid w:val="00D3796E"/>
    <w:rsid w:val="00D379A9"/>
    <w:rsid w:val="00D40308"/>
    <w:rsid w:val="00D40AC4"/>
    <w:rsid w:val="00D40BEA"/>
    <w:rsid w:val="00D41A81"/>
    <w:rsid w:val="00D42C9B"/>
    <w:rsid w:val="00D43279"/>
    <w:rsid w:val="00D43332"/>
    <w:rsid w:val="00D43CFD"/>
    <w:rsid w:val="00D441F8"/>
    <w:rsid w:val="00D44A6C"/>
    <w:rsid w:val="00D4551B"/>
    <w:rsid w:val="00D4636D"/>
    <w:rsid w:val="00D47BD1"/>
    <w:rsid w:val="00D5026B"/>
    <w:rsid w:val="00D50392"/>
    <w:rsid w:val="00D5072B"/>
    <w:rsid w:val="00D51C66"/>
    <w:rsid w:val="00D538FA"/>
    <w:rsid w:val="00D54266"/>
    <w:rsid w:val="00D55B1A"/>
    <w:rsid w:val="00D55B59"/>
    <w:rsid w:val="00D55C6F"/>
    <w:rsid w:val="00D55E02"/>
    <w:rsid w:val="00D55F9B"/>
    <w:rsid w:val="00D57A70"/>
    <w:rsid w:val="00D57E67"/>
    <w:rsid w:val="00D60886"/>
    <w:rsid w:val="00D62D28"/>
    <w:rsid w:val="00D63348"/>
    <w:rsid w:val="00D637CF"/>
    <w:rsid w:val="00D6425A"/>
    <w:rsid w:val="00D65536"/>
    <w:rsid w:val="00D65690"/>
    <w:rsid w:val="00D65EBB"/>
    <w:rsid w:val="00D67637"/>
    <w:rsid w:val="00D67D69"/>
    <w:rsid w:val="00D710FB"/>
    <w:rsid w:val="00D7170F"/>
    <w:rsid w:val="00D71D7F"/>
    <w:rsid w:val="00D728AF"/>
    <w:rsid w:val="00D73F90"/>
    <w:rsid w:val="00D75661"/>
    <w:rsid w:val="00D76333"/>
    <w:rsid w:val="00D77038"/>
    <w:rsid w:val="00D77194"/>
    <w:rsid w:val="00D7763D"/>
    <w:rsid w:val="00D80589"/>
    <w:rsid w:val="00D81899"/>
    <w:rsid w:val="00D821BA"/>
    <w:rsid w:val="00D83FD2"/>
    <w:rsid w:val="00D8450B"/>
    <w:rsid w:val="00D850C2"/>
    <w:rsid w:val="00D8665A"/>
    <w:rsid w:val="00D8742C"/>
    <w:rsid w:val="00D901E8"/>
    <w:rsid w:val="00D9133A"/>
    <w:rsid w:val="00D91DD6"/>
    <w:rsid w:val="00D91EBB"/>
    <w:rsid w:val="00D92078"/>
    <w:rsid w:val="00D93B39"/>
    <w:rsid w:val="00D96DB9"/>
    <w:rsid w:val="00D97044"/>
    <w:rsid w:val="00D9709F"/>
    <w:rsid w:val="00DA0EE6"/>
    <w:rsid w:val="00DA11A6"/>
    <w:rsid w:val="00DA11D2"/>
    <w:rsid w:val="00DA14EE"/>
    <w:rsid w:val="00DA20D4"/>
    <w:rsid w:val="00DA22FA"/>
    <w:rsid w:val="00DA4364"/>
    <w:rsid w:val="00DA55AB"/>
    <w:rsid w:val="00DA56D2"/>
    <w:rsid w:val="00DA59AE"/>
    <w:rsid w:val="00DA5DB3"/>
    <w:rsid w:val="00DA6276"/>
    <w:rsid w:val="00DA6ED3"/>
    <w:rsid w:val="00DA7796"/>
    <w:rsid w:val="00DA7817"/>
    <w:rsid w:val="00DB04AA"/>
    <w:rsid w:val="00DB0A98"/>
    <w:rsid w:val="00DB0EDE"/>
    <w:rsid w:val="00DB16D3"/>
    <w:rsid w:val="00DB20A7"/>
    <w:rsid w:val="00DB2118"/>
    <w:rsid w:val="00DB250C"/>
    <w:rsid w:val="00DB2544"/>
    <w:rsid w:val="00DB2970"/>
    <w:rsid w:val="00DB3008"/>
    <w:rsid w:val="00DB35CE"/>
    <w:rsid w:val="00DB3E35"/>
    <w:rsid w:val="00DB5433"/>
    <w:rsid w:val="00DB576D"/>
    <w:rsid w:val="00DB629F"/>
    <w:rsid w:val="00DB7634"/>
    <w:rsid w:val="00DB7FD2"/>
    <w:rsid w:val="00DC0B30"/>
    <w:rsid w:val="00DC0C9D"/>
    <w:rsid w:val="00DC1EAB"/>
    <w:rsid w:val="00DC286A"/>
    <w:rsid w:val="00DC4072"/>
    <w:rsid w:val="00DC455E"/>
    <w:rsid w:val="00DC5483"/>
    <w:rsid w:val="00DC57CE"/>
    <w:rsid w:val="00DC5BF0"/>
    <w:rsid w:val="00DC6F8F"/>
    <w:rsid w:val="00DC724F"/>
    <w:rsid w:val="00DD01F0"/>
    <w:rsid w:val="00DD0B82"/>
    <w:rsid w:val="00DD1E87"/>
    <w:rsid w:val="00DD1EF9"/>
    <w:rsid w:val="00DD1FCD"/>
    <w:rsid w:val="00DD31D3"/>
    <w:rsid w:val="00DD39C2"/>
    <w:rsid w:val="00DD5591"/>
    <w:rsid w:val="00DD5654"/>
    <w:rsid w:val="00DD7878"/>
    <w:rsid w:val="00DE04C3"/>
    <w:rsid w:val="00DE0B7B"/>
    <w:rsid w:val="00DE0CDD"/>
    <w:rsid w:val="00DE1520"/>
    <w:rsid w:val="00DE23EC"/>
    <w:rsid w:val="00DE2EAA"/>
    <w:rsid w:val="00DE481B"/>
    <w:rsid w:val="00DE48BE"/>
    <w:rsid w:val="00DE4962"/>
    <w:rsid w:val="00DE5355"/>
    <w:rsid w:val="00DE56DC"/>
    <w:rsid w:val="00DE671D"/>
    <w:rsid w:val="00DE6EC2"/>
    <w:rsid w:val="00DE7136"/>
    <w:rsid w:val="00DE7279"/>
    <w:rsid w:val="00DF0BFE"/>
    <w:rsid w:val="00DF0CD5"/>
    <w:rsid w:val="00DF0FE0"/>
    <w:rsid w:val="00DF10B4"/>
    <w:rsid w:val="00DF151B"/>
    <w:rsid w:val="00DF1D20"/>
    <w:rsid w:val="00DF216E"/>
    <w:rsid w:val="00DF267B"/>
    <w:rsid w:val="00DF28AA"/>
    <w:rsid w:val="00DF2B11"/>
    <w:rsid w:val="00DF2F66"/>
    <w:rsid w:val="00DF3194"/>
    <w:rsid w:val="00DF3A20"/>
    <w:rsid w:val="00DF3A6C"/>
    <w:rsid w:val="00DF48DA"/>
    <w:rsid w:val="00DF4EED"/>
    <w:rsid w:val="00DF681E"/>
    <w:rsid w:val="00DF7DE4"/>
    <w:rsid w:val="00E00E06"/>
    <w:rsid w:val="00E010F3"/>
    <w:rsid w:val="00E02572"/>
    <w:rsid w:val="00E0363B"/>
    <w:rsid w:val="00E04096"/>
    <w:rsid w:val="00E0473E"/>
    <w:rsid w:val="00E05837"/>
    <w:rsid w:val="00E05B66"/>
    <w:rsid w:val="00E06125"/>
    <w:rsid w:val="00E065B4"/>
    <w:rsid w:val="00E067DA"/>
    <w:rsid w:val="00E07279"/>
    <w:rsid w:val="00E07426"/>
    <w:rsid w:val="00E100FB"/>
    <w:rsid w:val="00E1022C"/>
    <w:rsid w:val="00E1066B"/>
    <w:rsid w:val="00E141F5"/>
    <w:rsid w:val="00E15988"/>
    <w:rsid w:val="00E169B4"/>
    <w:rsid w:val="00E1737A"/>
    <w:rsid w:val="00E17F31"/>
    <w:rsid w:val="00E20882"/>
    <w:rsid w:val="00E2127A"/>
    <w:rsid w:val="00E2171B"/>
    <w:rsid w:val="00E21A0A"/>
    <w:rsid w:val="00E21A1B"/>
    <w:rsid w:val="00E22368"/>
    <w:rsid w:val="00E22596"/>
    <w:rsid w:val="00E229EC"/>
    <w:rsid w:val="00E22AA8"/>
    <w:rsid w:val="00E23420"/>
    <w:rsid w:val="00E23435"/>
    <w:rsid w:val="00E237E8"/>
    <w:rsid w:val="00E2744B"/>
    <w:rsid w:val="00E355F6"/>
    <w:rsid w:val="00E35607"/>
    <w:rsid w:val="00E37190"/>
    <w:rsid w:val="00E373B2"/>
    <w:rsid w:val="00E40C1F"/>
    <w:rsid w:val="00E4147B"/>
    <w:rsid w:val="00E41A0E"/>
    <w:rsid w:val="00E423BA"/>
    <w:rsid w:val="00E423F8"/>
    <w:rsid w:val="00E42C30"/>
    <w:rsid w:val="00E43232"/>
    <w:rsid w:val="00E434F4"/>
    <w:rsid w:val="00E43B7A"/>
    <w:rsid w:val="00E442F2"/>
    <w:rsid w:val="00E4443A"/>
    <w:rsid w:val="00E44C6A"/>
    <w:rsid w:val="00E459D5"/>
    <w:rsid w:val="00E45C3A"/>
    <w:rsid w:val="00E46834"/>
    <w:rsid w:val="00E474CD"/>
    <w:rsid w:val="00E475B4"/>
    <w:rsid w:val="00E47F67"/>
    <w:rsid w:val="00E5046B"/>
    <w:rsid w:val="00E513D9"/>
    <w:rsid w:val="00E520FB"/>
    <w:rsid w:val="00E5314D"/>
    <w:rsid w:val="00E53F1A"/>
    <w:rsid w:val="00E548A8"/>
    <w:rsid w:val="00E555CD"/>
    <w:rsid w:val="00E55F5C"/>
    <w:rsid w:val="00E560FF"/>
    <w:rsid w:val="00E56570"/>
    <w:rsid w:val="00E57548"/>
    <w:rsid w:val="00E605DB"/>
    <w:rsid w:val="00E60F4F"/>
    <w:rsid w:val="00E639D1"/>
    <w:rsid w:val="00E63E0E"/>
    <w:rsid w:val="00E6589F"/>
    <w:rsid w:val="00E663ED"/>
    <w:rsid w:val="00E71B96"/>
    <w:rsid w:val="00E7255B"/>
    <w:rsid w:val="00E72750"/>
    <w:rsid w:val="00E74BC0"/>
    <w:rsid w:val="00E76F39"/>
    <w:rsid w:val="00E80271"/>
    <w:rsid w:val="00E81B19"/>
    <w:rsid w:val="00E83950"/>
    <w:rsid w:val="00E840F0"/>
    <w:rsid w:val="00E8445E"/>
    <w:rsid w:val="00E85EBD"/>
    <w:rsid w:val="00E86258"/>
    <w:rsid w:val="00E87249"/>
    <w:rsid w:val="00E872D9"/>
    <w:rsid w:val="00E87E50"/>
    <w:rsid w:val="00E90300"/>
    <w:rsid w:val="00E929D5"/>
    <w:rsid w:val="00E92A31"/>
    <w:rsid w:val="00E937E6"/>
    <w:rsid w:val="00E95333"/>
    <w:rsid w:val="00E96A39"/>
    <w:rsid w:val="00E972D2"/>
    <w:rsid w:val="00EA0E1F"/>
    <w:rsid w:val="00EA1C80"/>
    <w:rsid w:val="00EA2118"/>
    <w:rsid w:val="00EA27EA"/>
    <w:rsid w:val="00EA507F"/>
    <w:rsid w:val="00EA6D08"/>
    <w:rsid w:val="00EA708D"/>
    <w:rsid w:val="00EA7C40"/>
    <w:rsid w:val="00EB0107"/>
    <w:rsid w:val="00EB0BA5"/>
    <w:rsid w:val="00EB0D60"/>
    <w:rsid w:val="00EB0D9A"/>
    <w:rsid w:val="00EB1218"/>
    <w:rsid w:val="00EB1E6C"/>
    <w:rsid w:val="00EB21C4"/>
    <w:rsid w:val="00EB4E3A"/>
    <w:rsid w:val="00EB6760"/>
    <w:rsid w:val="00EB6CFB"/>
    <w:rsid w:val="00EB74BF"/>
    <w:rsid w:val="00EB7D8D"/>
    <w:rsid w:val="00EC05FB"/>
    <w:rsid w:val="00EC1165"/>
    <w:rsid w:val="00EC18FB"/>
    <w:rsid w:val="00EC4BC2"/>
    <w:rsid w:val="00EC4C44"/>
    <w:rsid w:val="00EC6BAE"/>
    <w:rsid w:val="00ED0F97"/>
    <w:rsid w:val="00ED1B57"/>
    <w:rsid w:val="00ED1EB1"/>
    <w:rsid w:val="00ED258A"/>
    <w:rsid w:val="00ED2659"/>
    <w:rsid w:val="00ED304D"/>
    <w:rsid w:val="00ED4D2F"/>
    <w:rsid w:val="00ED5510"/>
    <w:rsid w:val="00ED630F"/>
    <w:rsid w:val="00ED66BD"/>
    <w:rsid w:val="00ED6BD5"/>
    <w:rsid w:val="00EE09D4"/>
    <w:rsid w:val="00EE0DD1"/>
    <w:rsid w:val="00EE10E2"/>
    <w:rsid w:val="00EE168A"/>
    <w:rsid w:val="00EE1E3F"/>
    <w:rsid w:val="00EE22A7"/>
    <w:rsid w:val="00EE285D"/>
    <w:rsid w:val="00EE3096"/>
    <w:rsid w:val="00EE353C"/>
    <w:rsid w:val="00EE3BCE"/>
    <w:rsid w:val="00EE4CF2"/>
    <w:rsid w:val="00EE5AA0"/>
    <w:rsid w:val="00EE5C76"/>
    <w:rsid w:val="00EE5EF5"/>
    <w:rsid w:val="00EE6243"/>
    <w:rsid w:val="00EE75B6"/>
    <w:rsid w:val="00EE7D81"/>
    <w:rsid w:val="00EF1153"/>
    <w:rsid w:val="00EF1FD0"/>
    <w:rsid w:val="00EF288B"/>
    <w:rsid w:val="00EF29ED"/>
    <w:rsid w:val="00EF2C15"/>
    <w:rsid w:val="00EF3440"/>
    <w:rsid w:val="00EF3E5F"/>
    <w:rsid w:val="00EF4950"/>
    <w:rsid w:val="00EF4D45"/>
    <w:rsid w:val="00EF574A"/>
    <w:rsid w:val="00EF6E66"/>
    <w:rsid w:val="00EF6E82"/>
    <w:rsid w:val="00EF7240"/>
    <w:rsid w:val="00EF7942"/>
    <w:rsid w:val="00F002F5"/>
    <w:rsid w:val="00F02994"/>
    <w:rsid w:val="00F02C89"/>
    <w:rsid w:val="00F02DA3"/>
    <w:rsid w:val="00F033B5"/>
    <w:rsid w:val="00F03583"/>
    <w:rsid w:val="00F0426A"/>
    <w:rsid w:val="00F05AFE"/>
    <w:rsid w:val="00F06193"/>
    <w:rsid w:val="00F067DF"/>
    <w:rsid w:val="00F068D4"/>
    <w:rsid w:val="00F06931"/>
    <w:rsid w:val="00F071DF"/>
    <w:rsid w:val="00F07769"/>
    <w:rsid w:val="00F102F0"/>
    <w:rsid w:val="00F106B1"/>
    <w:rsid w:val="00F111E8"/>
    <w:rsid w:val="00F1228D"/>
    <w:rsid w:val="00F12C05"/>
    <w:rsid w:val="00F13060"/>
    <w:rsid w:val="00F140F4"/>
    <w:rsid w:val="00F15141"/>
    <w:rsid w:val="00F1521B"/>
    <w:rsid w:val="00F1773C"/>
    <w:rsid w:val="00F17C99"/>
    <w:rsid w:val="00F209B5"/>
    <w:rsid w:val="00F20BA7"/>
    <w:rsid w:val="00F20E95"/>
    <w:rsid w:val="00F21ED3"/>
    <w:rsid w:val="00F22341"/>
    <w:rsid w:val="00F2276C"/>
    <w:rsid w:val="00F22D34"/>
    <w:rsid w:val="00F233DD"/>
    <w:rsid w:val="00F248EE"/>
    <w:rsid w:val="00F248F9"/>
    <w:rsid w:val="00F27585"/>
    <w:rsid w:val="00F278E9"/>
    <w:rsid w:val="00F27E27"/>
    <w:rsid w:val="00F30D83"/>
    <w:rsid w:val="00F32788"/>
    <w:rsid w:val="00F32F50"/>
    <w:rsid w:val="00F3372E"/>
    <w:rsid w:val="00F33ABC"/>
    <w:rsid w:val="00F34DDB"/>
    <w:rsid w:val="00F35282"/>
    <w:rsid w:val="00F35927"/>
    <w:rsid w:val="00F35F62"/>
    <w:rsid w:val="00F37325"/>
    <w:rsid w:val="00F42CE9"/>
    <w:rsid w:val="00F434EE"/>
    <w:rsid w:val="00F43C31"/>
    <w:rsid w:val="00F4457D"/>
    <w:rsid w:val="00F51574"/>
    <w:rsid w:val="00F537F0"/>
    <w:rsid w:val="00F54636"/>
    <w:rsid w:val="00F5651F"/>
    <w:rsid w:val="00F57D34"/>
    <w:rsid w:val="00F606C5"/>
    <w:rsid w:val="00F618FB"/>
    <w:rsid w:val="00F62323"/>
    <w:rsid w:val="00F643DF"/>
    <w:rsid w:val="00F6538A"/>
    <w:rsid w:val="00F710D9"/>
    <w:rsid w:val="00F71D8D"/>
    <w:rsid w:val="00F7339C"/>
    <w:rsid w:val="00F73882"/>
    <w:rsid w:val="00F74EF6"/>
    <w:rsid w:val="00F74FD7"/>
    <w:rsid w:val="00F75644"/>
    <w:rsid w:val="00F7620C"/>
    <w:rsid w:val="00F76D2D"/>
    <w:rsid w:val="00F77ACD"/>
    <w:rsid w:val="00F77DD8"/>
    <w:rsid w:val="00F8215D"/>
    <w:rsid w:val="00F82429"/>
    <w:rsid w:val="00F825B2"/>
    <w:rsid w:val="00F836F8"/>
    <w:rsid w:val="00F83E27"/>
    <w:rsid w:val="00F8462F"/>
    <w:rsid w:val="00F85247"/>
    <w:rsid w:val="00F868AF"/>
    <w:rsid w:val="00F86969"/>
    <w:rsid w:val="00F86CBE"/>
    <w:rsid w:val="00F87553"/>
    <w:rsid w:val="00F90AF1"/>
    <w:rsid w:val="00F91E6C"/>
    <w:rsid w:val="00F922BB"/>
    <w:rsid w:val="00F923E5"/>
    <w:rsid w:val="00F93077"/>
    <w:rsid w:val="00F936A7"/>
    <w:rsid w:val="00F94396"/>
    <w:rsid w:val="00F95A23"/>
    <w:rsid w:val="00F96077"/>
    <w:rsid w:val="00F96909"/>
    <w:rsid w:val="00F96A57"/>
    <w:rsid w:val="00F9712A"/>
    <w:rsid w:val="00FA031B"/>
    <w:rsid w:val="00FA226E"/>
    <w:rsid w:val="00FA252F"/>
    <w:rsid w:val="00FA2D90"/>
    <w:rsid w:val="00FA3FB9"/>
    <w:rsid w:val="00FA4AEC"/>
    <w:rsid w:val="00FA4B80"/>
    <w:rsid w:val="00FA56CE"/>
    <w:rsid w:val="00FA792A"/>
    <w:rsid w:val="00FA7FE5"/>
    <w:rsid w:val="00FB0F1A"/>
    <w:rsid w:val="00FB196C"/>
    <w:rsid w:val="00FB1BB0"/>
    <w:rsid w:val="00FB29F1"/>
    <w:rsid w:val="00FB2E75"/>
    <w:rsid w:val="00FB307B"/>
    <w:rsid w:val="00FB3836"/>
    <w:rsid w:val="00FB4295"/>
    <w:rsid w:val="00FB4472"/>
    <w:rsid w:val="00FB4D77"/>
    <w:rsid w:val="00FB4F62"/>
    <w:rsid w:val="00FB4F91"/>
    <w:rsid w:val="00FB51F7"/>
    <w:rsid w:val="00FB596A"/>
    <w:rsid w:val="00FB622E"/>
    <w:rsid w:val="00FB723C"/>
    <w:rsid w:val="00FC09A0"/>
    <w:rsid w:val="00FC0F11"/>
    <w:rsid w:val="00FC1ED9"/>
    <w:rsid w:val="00FC2983"/>
    <w:rsid w:val="00FC2C84"/>
    <w:rsid w:val="00FC3A50"/>
    <w:rsid w:val="00FC3B65"/>
    <w:rsid w:val="00FC4707"/>
    <w:rsid w:val="00FC47A8"/>
    <w:rsid w:val="00FC608B"/>
    <w:rsid w:val="00FC6ADA"/>
    <w:rsid w:val="00FD34D5"/>
    <w:rsid w:val="00FD3C4D"/>
    <w:rsid w:val="00FD55C0"/>
    <w:rsid w:val="00FD5917"/>
    <w:rsid w:val="00FD6343"/>
    <w:rsid w:val="00FD66D6"/>
    <w:rsid w:val="00FD6AC7"/>
    <w:rsid w:val="00FE023D"/>
    <w:rsid w:val="00FE1049"/>
    <w:rsid w:val="00FE20E8"/>
    <w:rsid w:val="00FE32EB"/>
    <w:rsid w:val="00FE3472"/>
    <w:rsid w:val="00FE411E"/>
    <w:rsid w:val="00FE42F9"/>
    <w:rsid w:val="00FE47F5"/>
    <w:rsid w:val="00FE4C97"/>
    <w:rsid w:val="00FE59B3"/>
    <w:rsid w:val="00FE5A0D"/>
    <w:rsid w:val="00FE6114"/>
    <w:rsid w:val="00FE64A1"/>
    <w:rsid w:val="00FE67B3"/>
    <w:rsid w:val="00FE68A0"/>
    <w:rsid w:val="00FE6932"/>
    <w:rsid w:val="00FE74A9"/>
    <w:rsid w:val="00FE76C8"/>
    <w:rsid w:val="00FF13C7"/>
    <w:rsid w:val="00FF2993"/>
    <w:rsid w:val="00FF3380"/>
    <w:rsid w:val="00FF379A"/>
    <w:rsid w:val="00FF395F"/>
    <w:rsid w:val="00FF4436"/>
    <w:rsid w:val="00FF4790"/>
    <w:rsid w:val="00FF58A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75E15"/>
  <w15:docId w15:val="{796BDD82-05F8-42E5-89C8-F108AF1B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C1"/>
  </w:style>
  <w:style w:type="paragraph" w:styleId="Titre1">
    <w:name w:val="heading 1"/>
    <w:basedOn w:val="Normal"/>
    <w:link w:val="Titre1Car"/>
    <w:uiPriority w:val="9"/>
    <w:qFormat/>
    <w:rsid w:val="00833542"/>
    <w:pPr>
      <w:spacing w:before="100" w:beforeAutospacing="1" w:after="100" w:afterAutospacing="1" w:line="240" w:lineRule="auto"/>
      <w:outlineLvl w:val="0"/>
    </w:pPr>
    <w:rPr>
      <w:rFonts w:eastAsia="Times New Roman"/>
      <w:b/>
      <w:bCs/>
      <w:kern w:val="36"/>
      <w:sz w:val="48"/>
      <w:szCs w:val="48"/>
      <w:lang w:eastAsia="fr-CA"/>
    </w:rPr>
  </w:style>
  <w:style w:type="paragraph" w:styleId="Titre2">
    <w:name w:val="heading 2"/>
    <w:basedOn w:val="Normal"/>
    <w:next w:val="Normal"/>
    <w:link w:val="Titre2Car"/>
    <w:uiPriority w:val="9"/>
    <w:unhideWhenUsed/>
    <w:qFormat/>
    <w:rsid w:val="002302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25FC1"/>
    <w:pPr>
      <w:spacing w:before="100" w:beforeAutospacing="1" w:after="100" w:afterAutospacing="1" w:line="240" w:lineRule="auto"/>
    </w:pPr>
    <w:rPr>
      <w:rFonts w:eastAsia="Times New Roman"/>
      <w:lang w:eastAsia="fr-CA"/>
    </w:rPr>
  </w:style>
  <w:style w:type="character" w:customStyle="1" w:styleId="apple-converted-space">
    <w:name w:val="apple-converted-space"/>
    <w:basedOn w:val="Policepardfaut"/>
    <w:rsid w:val="00025FC1"/>
  </w:style>
  <w:style w:type="character" w:styleId="Marquedecommentaire">
    <w:name w:val="annotation reference"/>
    <w:basedOn w:val="Policepardfaut"/>
    <w:uiPriority w:val="99"/>
    <w:semiHidden/>
    <w:unhideWhenUsed/>
    <w:rsid w:val="00025FC1"/>
    <w:rPr>
      <w:sz w:val="16"/>
      <w:szCs w:val="16"/>
    </w:rPr>
  </w:style>
  <w:style w:type="paragraph" w:styleId="Commentaire">
    <w:name w:val="annotation text"/>
    <w:basedOn w:val="Normal"/>
    <w:link w:val="CommentaireCar"/>
    <w:uiPriority w:val="99"/>
    <w:unhideWhenUsed/>
    <w:rsid w:val="00025FC1"/>
    <w:pPr>
      <w:spacing w:line="240" w:lineRule="auto"/>
    </w:pPr>
    <w:rPr>
      <w:sz w:val="20"/>
      <w:szCs w:val="20"/>
    </w:rPr>
  </w:style>
  <w:style w:type="character" w:customStyle="1" w:styleId="CommentaireCar">
    <w:name w:val="Commentaire Car"/>
    <w:basedOn w:val="Policepardfaut"/>
    <w:link w:val="Commentaire"/>
    <w:uiPriority w:val="99"/>
    <w:rsid w:val="00025FC1"/>
    <w:rPr>
      <w:sz w:val="20"/>
      <w:szCs w:val="20"/>
    </w:rPr>
  </w:style>
  <w:style w:type="paragraph" w:styleId="Objetducommentaire">
    <w:name w:val="annotation subject"/>
    <w:basedOn w:val="Commentaire"/>
    <w:next w:val="Commentaire"/>
    <w:link w:val="ObjetducommentaireCar"/>
    <w:uiPriority w:val="99"/>
    <w:semiHidden/>
    <w:unhideWhenUsed/>
    <w:rsid w:val="00025FC1"/>
    <w:rPr>
      <w:b/>
      <w:bCs/>
    </w:rPr>
  </w:style>
  <w:style w:type="character" w:customStyle="1" w:styleId="ObjetducommentaireCar">
    <w:name w:val="Objet du commentaire Car"/>
    <w:basedOn w:val="CommentaireCar"/>
    <w:link w:val="Objetducommentaire"/>
    <w:uiPriority w:val="99"/>
    <w:semiHidden/>
    <w:rsid w:val="00025FC1"/>
    <w:rPr>
      <w:b/>
      <w:bCs/>
      <w:sz w:val="20"/>
      <w:szCs w:val="20"/>
    </w:rPr>
  </w:style>
  <w:style w:type="paragraph" w:styleId="Textedebulles">
    <w:name w:val="Balloon Text"/>
    <w:basedOn w:val="Normal"/>
    <w:link w:val="TextedebullesCar"/>
    <w:uiPriority w:val="99"/>
    <w:semiHidden/>
    <w:unhideWhenUsed/>
    <w:rsid w:val="00025F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FC1"/>
    <w:rPr>
      <w:rFonts w:ascii="Segoe UI" w:hAnsi="Segoe UI" w:cs="Segoe UI"/>
      <w:sz w:val="18"/>
      <w:szCs w:val="18"/>
    </w:rPr>
  </w:style>
  <w:style w:type="paragraph" w:styleId="Paragraphedeliste">
    <w:name w:val="List Paragraph"/>
    <w:basedOn w:val="Normal"/>
    <w:uiPriority w:val="34"/>
    <w:qFormat/>
    <w:rsid w:val="00D47BD1"/>
    <w:pPr>
      <w:ind w:left="720"/>
      <w:contextualSpacing/>
    </w:pPr>
  </w:style>
  <w:style w:type="paragraph" w:styleId="Retraitcorpsdetexte2">
    <w:name w:val="Body Text Indent 2"/>
    <w:basedOn w:val="Normal"/>
    <w:link w:val="Retraitcorpsdetexte2Car"/>
    <w:rsid w:val="006F2F4A"/>
    <w:pPr>
      <w:spacing w:after="0" w:line="240" w:lineRule="auto"/>
      <w:ind w:firstLine="708"/>
      <w:jc w:val="both"/>
    </w:pPr>
    <w:rPr>
      <w:rFonts w:ascii="Times" w:eastAsia="Times" w:hAnsi="Times"/>
      <w:szCs w:val="20"/>
      <w:lang w:eastAsia="fr-FR"/>
    </w:rPr>
  </w:style>
  <w:style w:type="character" w:customStyle="1" w:styleId="Retraitcorpsdetexte2Car">
    <w:name w:val="Retrait corps de texte 2 Car"/>
    <w:basedOn w:val="Policepardfaut"/>
    <w:link w:val="Retraitcorpsdetexte2"/>
    <w:rsid w:val="006F2F4A"/>
    <w:rPr>
      <w:rFonts w:ascii="Times" w:eastAsia="Times" w:hAnsi="Times" w:cs="Times New Roman"/>
      <w:sz w:val="24"/>
      <w:szCs w:val="20"/>
      <w:lang w:eastAsia="fr-FR"/>
    </w:rPr>
  </w:style>
  <w:style w:type="paragraph" w:styleId="Normalcentr">
    <w:name w:val="Block Text"/>
    <w:basedOn w:val="Normal"/>
    <w:link w:val="NormalcentrCar"/>
    <w:rsid w:val="006F2F4A"/>
    <w:pPr>
      <w:spacing w:after="0" w:line="240" w:lineRule="auto"/>
      <w:ind w:left="284" w:right="284"/>
      <w:jc w:val="both"/>
    </w:pPr>
    <w:rPr>
      <w:rFonts w:eastAsia="Times New Roman"/>
      <w:lang w:val="en-US" w:eastAsia="de-DE"/>
    </w:rPr>
  </w:style>
  <w:style w:type="character" w:customStyle="1" w:styleId="NormalcentrCar">
    <w:name w:val="Normal centré Car"/>
    <w:link w:val="Normalcentr"/>
    <w:rsid w:val="006F2F4A"/>
    <w:rPr>
      <w:rFonts w:ascii="Times New Roman" w:eastAsia="Times New Roman" w:hAnsi="Times New Roman" w:cs="Times New Roman"/>
      <w:sz w:val="24"/>
      <w:szCs w:val="24"/>
      <w:lang w:val="en-US" w:eastAsia="de-DE"/>
    </w:rPr>
  </w:style>
  <w:style w:type="paragraph" w:styleId="Notedebasdepage">
    <w:name w:val="footnote text"/>
    <w:basedOn w:val="Normal"/>
    <w:link w:val="NotedebasdepageCar"/>
    <w:uiPriority w:val="99"/>
    <w:rsid w:val="006F2F4A"/>
    <w:pPr>
      <w:spacing w:after="0" w:line="240" w:lineRule="auto"/>
    </w:pPr>
    <w:rPr>
      <w:rFonts w:eastAsia="Times New Roman"/>
      <w:sz w:val="20"/>
      <w:szCs w:val="20"/>
      <w:lang w:val="x-none" w:eastAsia="fr-CA"/>
    </w:rPr>
  </w:style>
  <w:style w:type="character" w:customStyle="1" w:styleId="NotedebasdepageCar">
    <w:name w:val="Note de bas de page Car"/>
    <w:basedOn w:val="Policepardfaut"/>
    <w:link w:val="Notedebasdepage"/>
    <w:uiPriority w:val="99"/>
    <w:rsid w:val="006F2F4A"/>
    <w:rPr>
      <w:rFonts w:ascii="Times New Roman" w:eastAsia="Times New Roman" w:hAnsi="Times New Roman" w:cs="Times New Roman"/>
      <w:sz w:val="20"/>
      <w:szCs w:val="20"/>
      <w:lang w:val="x-none" w:eastAsia="fr-CA"/>
    </w:rPr>
  </w:style>
  <w:style w:type="character" w:customStyle="1" w:styleId="apple-style-span">
    <w:name w:val="apple-style-span"/>
    <w:basedOn w:val="Policepardfaut"/>
    <w:rsid w:val="00EF3440"/>
  </w:style>
  <w:style w:type="paragraph" w:styleId="Corpsdetexte">
    <w:name w:val="Body Text"/>
    <w:basedOn w:val="Normal"/>
    <w:link w:val="CorpsdetexteCar"/>
    <w:uiPriority w:val="99"/>
    <w:unhideWhenUsed/>
    <w:rsid w:val="00317E0C"/>
    <w:pPr>
      <w:spacing w:after="120"/>
    </w:pPr>
  </w:style>
  <w:style w:type="character" w:customStyle="1" w:styleId="CorpsdetexteCar">
    <w:name w:val="Corps de texte Car"/>
    <w:basedOn w:val="Policepardfaut"/>
    <w:link w:val="Corpsdetexte"/>
    <w:uiPriority w:val="99"/>
    <w:rsid w:val="00317E0C"/>
  </w:style>
  <w:style w:type="paragraph" w:styleId="En-tte">
    <w:name w:val="header"/>
    <w:basedOn w:val="Normal"/>
    <w:link w:val="En-tteCar"/>
    <w:uiPriority w:val="99"/>
    <w:unhideWhenUsed/>
    <w:rsid w:val="00FC3A50"/>
    <w:pPr>
      <w:tabs>
        <w:tab w:val="center" w:pos="4320"/>
        <w:tab w:val="right" w:pos="8640"/>
      </w:tabs>
      <w:spacing w:after="0" w:line="240" w:lineRule="auto"/>
    </w:pPr>
  </w:style>
  <w:style w:type="character" w:customStyle="1" w:styleId="En-tteCar">
    <w:name w:val="En-tête Car"/>
    <w:basedOn w:val="Policepardfaut"/>
    <w:link w:val="En-tte"/>
    <w:uiPriority w:val="99"/>
    <w:rsid w:val="00FC3A50"/>
  </w:style>
  <w:style w:type="paragraph" w:styleId="Pieddepage">
    <w:name w:val="footer"/>
    <w:basedOn w:val="Normal"/>
    <w:link w:val="PieddepageCar"/>
    <w:uiPriority w:val="99"/>
    <w:unhideWhenUsed/>
    <w:rsid w:val="00FC3A5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3A50"/>
  </w:style>
  <w:style w:type="paragraph" w:customStyle="1" w:styleId="para">
    <w:name w:val="para"/>
    <w:basedOn w:val="Normal"/>
    <w:rsid w:val="00816903"/>
    <w:pPr>
      <w:spacing w:before="100" w:beforeAutospacing="1" w:after="100" w:afterAutospacing="1" w:line="240" w:lineRule="auto"/>
    </w:pPr>
    <w:rPr>
      <w:rFonts w:eastAsia="Times New Roman"/>
      <w:lang w:eastAsia="fr-CA"/>
    </w:rPr>
  </w:style>
  <w:style w:type="character" w:styleId="Lienhypertexte">
    <w:name w:val="Hyperlink"/>
    <w:basedOn w:val="Policepardfaut"/>
    <w:uiPriority w:val="99"/>
    <w:unhideWhenUsed/>
    <w:rsid w:val="00816903"/>
    <w:rPr>
      <w:color w:val="0000FF"/>
      <w:u w:val="single"/>
    </w:rPr>
  </w:style>
  <w:style w:type="character" w:styleId="Accentuation">
    <w:name w:val="Emphasis"/>
    <w:basedOn w:val="Policepardfaut"/>
    <w:uiPriority w:val="20"/>
    <w:qFormat/>
    <w:rsid w:val="00821BC7"/>
    <w:rPr>
      <w:i/>
      <w:iCs/>
    </w:rPr>
  </w:style>
  <w:style w:type="character" w:customStyle="1" w:styleId="ref-journal">
    <w:name w:val="ref-journal"/>
    <w:basedOn w:val="Policepardfaut"/>
    <w:rsid w:val="00DC0C9D"/>
  </w:style>
  <w:style w:type="character" w:customStyle="1" w:styleId="ref-vol">
    <w:name w:val="ref-vol"/>
    <w:basedOn w:val="Policepardfaut"/>
    <w:rsid w:val="00DC0C9D"/>
  </w:style>
  <w:style w:type="table" w:styleId="Grilledutableau">
    <w:name w:val="Table Grid"/>
    <w:basedOn w:val="TableauNormal"/>
    <w:uiPriority w:val="39"/>
    <w:rsid w:val="0096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6C071B"/>
    <w:rPr>
      <w:vertAlign w:val="superscript"/>
    </w:rPr>
  </w:style>
  <w:style w:type="paragraph" w:styleId="Rvision">
    <w:name w:val="Revision"/>
    <w:hidden/>
    <w:uiPriority w:val="99"/>
    <w:semiHidden/>
    <w:rsid w:val="00185EBA"/>
    <w:pPr>
      <w:spacing w:after="0" w:line="240" w:lineRule="auto"/>
    </w:pPr>
  </w:style>
  <w:style w:type="character" w:styleId="lev">
    <w:name w:val="Strong"/>
    <w:basedOn w:val="Policepardfaut"/>
    <w:uiPriority w:val="22"/>
    <w:qFormat/>
    <w:rsid w:val="00F96077"/>
    <w:rPr>
      <w:b/>
      <w:bCs/>
    </w:rPr>
  </w:style>
  <w:style w:type="paragraph" w:customStyle="1" w:styleId="Default">
    <w:name w:val="Default"/>
    <w:rsid w:val="002530AE"/>
    <w:pPr>
      <w:autoSpaceDE w:val="0"/>
      <w:autoSpaceDN w:val="0"/>
      <w:adjustRightInd w:val="0"/>
      <w:spacing w:after="0" w:line="240" w:lineRule="auto"/>
    </w:pPr>
    <w:rPr>
      <w:rFonts w:ascii="Arial" w:hAnsi="Arial" w:cs="Arial"/>
      <w:color w:val="000000"/>
    </w:rPr>
  </w:style>
  <w:style w:type="character" w:customStyle="1" w:styleId="nlmarticle-title">
    <w:name w:val="nlm_article-title"/>
    <w:basedOn w:val="Policepardfaut"/>
    <w:rsid w:val="002530AE"/>
  </w:style>
  <w:style w:type="paragraph" w:styleId="Notedefin">
    <w:name w:val="endnote text"/>
    <w:basedOn w:val="Normal"/>
    <w:link w:val="NotedefinCar"/>
    <w:uiPriority w:val="99"/>
    <w:unhideWhenUsed/>
    <w:rsid w:val="00183573"/>
    <w:pPr>
      <w:spacing w:after="0" w:line="240" w:lineRule="auto"/>
    </w:pPr>
    <w:rPr>
      <w:sz w:val="20"/>
      <w:szCs w:val="20"/>
    </w:rPr>
  </w:style>
  <w:style w:type="character" w:customStyle="1" w:styleId="NotedefinCar">
    <w:name w:val="Note de fin Car"/>
    <w:basedOn w:val="Policepardfaut"/>
    <w:link w:val="Notedefin"/>
    <w:uiPriority w:val="99"/>
    <w:rsid w:val="00183573"/>
    <w:rPr>
      <w:sz w:val="20"/>
      <w:szCs w:val="20"/>
    </w:rPr>
  </w:style>
  <w:style w:type="character" w:styleId="Appeldenotedefin">
    <w:name w:val="endnote reference"/>
    <w:basedOn w:val="Policepardfaut"/>
    <w:uiPriority w:val="99"/>
    <w:semiHidden/>
    <w:unhideWhenUsed/>
    <w:rsid w:val="00183573"/>
    <w:rPr>
      <w:vertAlign w:val="superscript"/>
    </w:rPr>
  </w:style>
  <w:style w:type="paragraph" w:styleId="PrformatHTML">
    <w:name w:val="HTML Preformatted"/>
    <w:basedOn w:val="Normal"/>
    <w:link w:val="PrformatHTMLCar"/>
    <w:uiPriority w:val="99"/>
    <w:unhideWhenUsed/>
    <w:rsid w:val="00DF2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basedOn w:val="Policepardfaut"/>
    <w:link w:val="PrformatHTML"/>
    <w:uiPriority w:val="99"/>
    <w:rsid w:val="00DF216E"/>
    <w:rPr>
      <w:rFonts w:ascii="Courier New" w:eastAsia="Times New Roman" w:hAnsi="Courier New"/>
      <w:sz w:val="20"/>
      <w:szCs w:val="20"/>
      <w:lang w:val="x-none" w:eastAsia="x-none"/>
    </w:rPr>
  </w:style>
  <w:style w:type="character" w:customStyle="1" w:styleId="Mention1">
    <w:name w:val="Mention1"/>
    <w:basedOn w:val="Policepardfaut"/>
    <w:uiPriority w:val="99"/>
    <w:semiHidden/>
    <w:unhideWhenUsed/>
    <w:rsid w:val="00154E81"/>
    <w:rPr>
      <w:color w:val="2B579A"/>
      <w:shd w:val="clear" w:color="auto" w:fill="E6E6E6"/>
    </w:rPr>
  </w:style>
  <w:style w:type="character" w:styleId="Textedelespacerserv">
    <w:name w:val="Placeholder Text"/>
    <w:basedOn w:val="Policepardfaut"/>
    <w:uiPriority w:val="99"/>
    <w:semiHidden/>
    <w:rsid w:val="00A53E80"/>
    <w:rPr>
      <w:color w:val="808080"/>
    </w:rPr>
  </w:style>
  <w:style w:type="character" w:customStyle="1" w:styleId="Mention2">
    <w:name w:val="Mention2"/>
    <w:basedOn w:val="Policepardfaut"/>
    <w:uiPriority w:val="99"/>
    <w:semiHidden/>
    <w:unhideWhenUsed/>
    <w:rsid w:val="00833542"/>
    <w:rPr>
      <w:color w:val="2B579A"/>
      <w:shd w:val="clear" w:color="auto" w:fill="E6E6E6"/>
    </w:rPr>
  </w:style>
  <w:style w:type="character" w:customStyle="1" w:styleId="Titre1Car">
    <w:name w:val="Titre 1 Car"/>
    <w:basedOn w:val="Policepardfaut"/>
    <w:link w:val="Titre1"/>
    <w:uiPriority w:val="9"/>
    <w:rsid w:val="00833542"/>
    <w:rPr>
      <w:rFonts w:eastAsia="Times New Roman"/>
      <w:b/>
      <w:bCs/>
      <w:kern w:val="36"/>
      <w:sz w:val="48"/>
      <w:szCs w:val="48"/>
      <w:lang w:eastAsia="fr-CA"/>
    </w:rPr>
  </w:style>
  <w:style w:type="character" w:customStyle="1" w:styleId="Mentionnonrsolue1">
    <w:name w:val="Mention non résolue1"/>
    <w:basedOn w:val="Policepardfaut"/>
    <w:uiPriority w:val="99"/>
    <w:semiHidden/>
    <w:unhideWhenUsed/>
    <w:rsid w:val="00DA4364"/>
    <w:rPr>
      <w:color w:val="808080"/>
      <w:shd w:val="clear" w:color="auto" w:fill="E6E6E6"/>
    </w:rPr>
  </w:style>
  <w:style w:type="character" w:customStyle="1" w:styleId="Mentionnonrsolue2">
    <w:name w:val="Mention non résolue2"/>
    <w:basedOn w:val="Policepardfaut"/>
    <w:uiPriority w:val="99"/>
    <w:semiHidden/>
    <w:unhideWhenUsed/>
    <w:rsid w:val="007670B6"/>
    <w:rPr>
      <w:color w:val="808080"/>
      <w:shd w:val="clear" w:color="auto" w:fill="E6E6E6"/>
    </w:rPr>
  </w:style>
  <w:style w:type="character" w:styleId="Lienhypertextesuivivisit">
    <w:name w:val="FollowedHyperlink"/>
    <w:basedOn w:val="Policepardfaut"/>
    <w:uiPriority w:val="99"/>
    <w:semiHidden/>
    <w:unhideWhenUsed/>
    <w:rsid w:val="00FF2993"/>
    <w:rPr>
      <w:color w:val="954F72" w:themeColor="followedHyperlink"/>
      <w:u w:val="single"/>
    </w:rPr>
  </w:style>
  <w:style w:type="paragraph" w:customStyle="1" w:styleId="paragraphe">
    <w:name w:val="paragraphe"/>
    <w:basedOn w:val="Normal"/>
    <w:rsid w:val="004E58D6"/>
    <w:pPr>
      <w:keepLines/>
      <w:widowControl w:val="0"/>
      <w:suppressAutoHyphens/>
      <w:autoSpaceDE w:val="0"/>
      <w:spacing w:before="120" w:after="0" w:line="240" w:lineRule="auto"/>
    </w:pPr>
    <w:rPr>
      <w:rFonts w:ascii="Times" w:eastAsia="Times New Roman" w:hAnsi="Times"/>
      <w:sz w:val="20"/>
      <w:szCs w:val="20"/>
    </w:rPr>
  </w:style>
  <w:style w:type="character" w:customStyle="1" w:styleId="Mentionnonrsolue3">
    <w:name w:val="Mention non résolue3"/>
    <w:basedOn w:val="Policepardfaut"/>
    <w:uiPriority w:val="99"/>
    <w:semiHidden/>
    <w:unhideWhenUsed/>
    <w:rsid w:val="003F16D3"/>
    <w:rPr>
      <w:color w:val="808080"/>
      <w:shd w:val="clear" w:color="auto" w:fill="E6E6E6"/>
    </w:rPr>
  </w:style>
  <w:style w:type="character" w:styleId="CitationHTML">
    <w:name w:val="HTML Cite"/>
    <w:basedOn w:val="Policepardfaut"/>
    <w:uiPriority w:val="99"/>
    <w:semiHidden/>
    <w:unhideWhenUsed/>
    <w:rsid w:val="008F1DE0"/>
    <w:rPr>
      <w:i/>
      <w:iCs/>
    </w:rPr>
  </w:style>
  <w:style w:type="character" w:customStyle="1" w:styleId="petitecap">
    <w:name w:val="petitecap"/>
    <w:basedOn w:val="Policepardfaut"/>
    <w:rsid w:val="004B1798"/>
  </w:style>
  <w:style w:type="character" w:customStyle="1" w:styleId="gmail-58cl">
    <w:name w:val="gmail-_58cl"/>
    <w:basedOn w:val="Policepardfaut"/>
    <w:rsid w:val="002567FF"/>
  </w:style>
  <w:style w:type="character" w:customStyle="1" w:styleId="gmail-58cm">
    <w:name w:val="gmail-_58cm"/>
    <w:basedOn w:val="Policepardfaut"/>
    <w:rsid w:val="002567FF"/>
  </w:style>
  <w:style w:type="paragraph" w:styleId="Textebrut">
    <w:name w:val="Plain Text"/>
    <w:basedOn w:val="Normal"/>
    <w:link w:val="TextebrutCar"/>
    <w:uiPriority w:val="99"/>
    <w:unhideWhenUsed/>
    <w:rsid w:val="00557F30"/>
    <w:pPr>
      <w:spacing w:after="0" w:line="240" w:lineRule="auto"/>
    </w:pPr>
    <w:rPr>
      <w:rFonts w:cstheme="minorBidi"/>
      <w:szCs w:val="21"/>
    </w:rPr>
  </w:style>
  <w:style w:type="character" w:customStyle="1" w:styleId="TextebrutCar">
    <w:name w:val="Texte brut Car"/>
    <w:basedOn w:val="Policepardfaut"/>
    <w:link w:val="Textebrut"/>
    <w:uiPriority w:val="99"/>
    <w:rsid w:val="00557F30"/>
    <w:rPr>
      <w:rFonts w:cstheme="minorBidi"/>
      <w:szCs w:val="21"/>
    </w:rPr>
  </w:style>
  <w:style w:type="character" w:customStyle="1" w:styleId="Titre2Car">
    <w:name w:val="Titre 2 Car"/>
    <w:basedOn w:val="Policepardfaut"/>
    <w:link w:val="Titre2"/>
    <w:uiPriority w:val="9"/>
    <w:rsid w:val="00230214"/>
    <w:rPr>
      <w:rFonts w:asciiTheme="majorHAnsi" w:eastAsiaTheme="majorEastAsia" w:hAnsiTheme="majorHAnsi" w:cstheme="majorBidi"/>
      <w:color w:val="2E74B5" w:themeColor="accent1" w:themeShade="BF"/>
      <w:sz w:val="26"/>
      <w:szCs w:val="26"/>
    </w:rPr>
  </w:style>
  <w:style w:type="character" w:customStyle="1" w:styleId="cf01">
    <w:name w:val="cf01"/>
    <w:basedOn w:val="Policepardfaut"/>
    <w:rsid w:val="00663E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825">
      <w:bodyDiv w:val="1"/>
      <w:marLeft w:val="0"/>
      <w:marRight w:val="0"/>
      <w:marTop w:val="0"/>
      <w:marBottom w:val="0"/>
      <w:divBdr>
        <w:top w:val="none" w:sz="0" w:space="0" w:color="auto"/>
        <w:left w:val="none" w:sz="0" w:space="0" w:color="auto"/>
        <w:bottom w:val="none" w:sz="0" w:space="0" w:color="auto"/>
        <w:right w:val="none" w:sz="0" w:space="0" w:color="auto"/>
      </w:divBdr>
      <w:divsChild>
        <w:div w:id="1042633737">
          <w:marLeft w:val="0"/>
          <w:marRight w:val="0"/>
          <w:marTop w:val="0"/>
          <w:marBottom w:val="0"/>
          <w:divBdr>
            <w:top w:val="none" w:sz="0" w:space="0" w:color="auto"/>
            <w:left w:val="none" w:sz="0" w:space="0" w:color="auto"/>
            <w:bottom w:val="none" w:sz="0" w:space="0" w:color="auto"/>
            <w:right w:val="none" w:sz="0" w:space="0" w:color="auto"/>
          </w:divBdr>
          <w:divsChild>
            <w:div w:id="411900828">
              <w:marLeft w:val="0"/>
              <w:marRight w:val="0"/>
              <w:marTop w:val="0"/>
              <w:marBottom w:val="0"/>
              <w:divBdr>
                <w:top w:val="none" w:sz="0" w:space="0" w:color="auto"/>
                <w:left w:val="none" w:sz="0" w:space="0" w:color="auto"/>
                <w:bottom w:val="none" w:sz="0" w:space="0" w:color="auto"/>
                <w:right w:val="none" w:sz="0" w:space="0" w:color="auto"/>
              </w:divBdr>
              <w:divsChild>
                <w:div w:id="1054160717">
                  <w:marLeft w:val="0"/>
                  <w:marRight w:val="0"/>
                  <w:marTop w:val="0"/>
                  <w:marBottom w:val="0"/>
                  <w:divBdr>
                    <w:top w:val="none" w:sz="0" w:space="0" w:color="auto"/>
                    <w:left w:val="none" w:sz="0" w:space="0" w:color="auto"/>
                    <w:bottom w:val="none" w:sz="0" w:space="0" w:color="auto"/>
                    <w:right w:val="none" w:sz="0" w:space="0" w:color="auto"/>
                  </w:divBdr>
                  <w:divsChild>
                    <w:div w:id="693196014">
                      <w:marLeft w:val="0"/>
                      <w:marRight w:val="0"/>
                      <w:marTop w:val="0"/>
                      <w:marBottom w:val="0"/>
                      <w:divBdr>
                        <w:top w:val="none" w:sz="0" w:space="0" w:color="auto"/>
                        <w:left w:val="none" w:sz="0" w:space="0" w:color="auto"/>
                        <w:bottom w:val="none" w:sz="0" w:space="0" w:color="auto"/>
                        <w:right w:val="none" w:sz="0" w:space="0" w:color="auto"/>
                      </w:divBdr>
                      <w:divsChild>
                        <w:div w:id="1381781621">
                          <w:marLeft w:val="0"/>
                          <w:marRight w:val="0"/>
                          <w:marTop w:val="0"/>
                          <w:marBottom w:val="0"/>
                          <w:divBdr>
                            <w:top w:val="none" w:sz="0" w:space="0" w:color="auto"/>
                            <w:left w:val="none" w:sz="0" w:space="0" w:color="auto"/>
                            <w:bottom w:val="none" w:sz="0" w:space="0" w:color="auto"/>
                            <w:right w:val="none" w:sz="0" w:space="0" w:color="auto"/>
                          </w:divBdr>
                          <w:divsChild>
                            <w:div w:id="1548686166">
                              <w:marLeft w:val="0"/>
                              <w:marRight w:val="0"/>
                              <w:marTop w:val="0"/>
                              <w:marBottom w:val="0"/>
                              <w:divBdr>
                                <w:top w:val="none" w:sz="0" w:space="0" w:color="auto"/>
                                <w:left w:val="none" w:sz="0" w:space="0" w:color="auto"/>
                                <w:bottom w:val="none" w:sz="0" w:space="0" w:color="auto"/>
                                <w:right w:val="none" w:sz="0" w:space="0" w:color="auto"/>
                              </w:divBdr>
                              <w:divsChild>
                                <w:div w:id="433137449">
                                  <w:marLeft w:val="0"/>
                                  <w:marRight w:val="0"/>
                                  <w:marTop w:val="0"/>
                                  <w:marBottom w:val="0"/>
                                  <w:divBdr>
                                    <w:top w:val="none" w:sz="0" w:space="0" w:color="auto"/>
                                    <w:left w:val="none" w:sz="0" w:space="0" w:color="auto"/>
                                    <w:bottom w:val="none" w:sz="0" w:space="0" w:color="auto"/>
                                    <w:right w:val="none" w:sz="0" w:space="0" w:color="auto"/>
                                  </w:divBdr>
                                  <w:divsChild>
                                    <w:div w:id="554319570">
                                      <w:marLeft w:val="0"/>
                                      <w:marRight w:val="0"/>
                                      <w:marTop w:val="0"/>
                                      <w:marBottom w:val="0"/>
                                      <w:divBdr>
                                        <w:top w:val="none" w:sz="0" w:space="0" w:color="auto"/>
                                        <w:left w:val="none" w:sz="0" w:space="0" w:color="auto"/>
                                        <w:bottom w:val="none" w:sz="0" w:space="0" w:color="auto"/>
                                        <w:right w:val="none" w:sz="0" w:space="0" w:color="auto"/>
                                      </w:divBdr>
                                      <w:divsChild>
                                        <w:div w:id="1903830817">
                                          <w:marLeft w:val="0"/>
                                          <w:marRight w:val="0"/>
                                          <w:marTop w:val="0"/>
                                          <w:marBottom w:val="0"/>
                                          <w:divBdr>
                                            <w:top w:val="none" w:sz="0" w:space="0" w:color="auto"/>
                                            <w:left w:val="none" w:sz="0" w:space="0" w:color="auto"/>
                                            <w:bottom w:val="none" w:sz="0" w:space="0" w:color="auto"/>
                                            <w:right w:val="none" w:sz="0" w:space="0" w:color="auto"/>
                                          </w:divBdr>
                                          <w:divsChild>
                                            <w:div w:id="5672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80683">
      <w:bodyDiv w:val="1"/>
      <w:marLeft w:val="0"/>
      <w:marRight w:val="0"/>
      <w:marTop w:val="0"/>
      <w:marBottom w:val="0"/>
      <w:divBdr>
        <w:top w:val="none" w:sz="0" w:space="0" w:color="auto"/>
        <w:left w:val="none" w:sz="0" w:space="0" w:color="auto"/>
        <w:bottom w:val="none" w:sz="0" w:space="0" w:color="auto"/>
        <w:right w:val="none" w:sz="0" w:space="0" w:color="auto"/>
      </w:divBdr>
    </w:div>
    <w:div w:id="110561706">
      <w:bodyDiv w:val="1"/>
      <w:marLeft w:val="0"/>
      <w:marRight w:val="0"/>
      <w:marTop w:val="0"/>
      <w:marBottom w:val="0"/>
      <w:divBdr>
        <w:top w:val="none" w:sz="0" w:space="0" w:color="auto"/>
        <w:left w:val="none" w:sz="0" w:space="0" w:color="auto"/>
        <w:bottom w:val="none" w:sz="0" w:space="0" w:color="auto"/>
        <w:right w:val="none" w:sz="0" w:space="0" w:color="auto"/>
      </w:divBdr>
    </w:div>
    <w:div w:id="132329173">
      <w:bodyDiv w:val="1"/>
      <w:marLeft w:val="0"/>
      <w:marRight w:val="0"/>
      <w:marTop w:val="0"/>
      <w:marBottom w:val="0"/>
      <w:divBdr>
        <w:top w:val="none" w:sz="0" w:space="0" w:color="auto"/>
        <w:left w:val="none" w:sz="0" w:space="0" w:color="auto"/>
        <w:bottom w:val="none" w:sz="0" w:space="0" w:color="auto"/>
        <w:right w:val="none" w:sz="0" w:space="0" w:color="auto"/>
      </w:divBdr>
    </w:div>
    <w:div w:id="194928233">
      <w:bodyDiv w:val="1"/>
      <w:marLeft w:val="0"/>
      <w:marRight w:val="0"/>
      <w:marTop w:val="0"/>
      <w:marBottom w:val="0"/>
      <w:divBdr>
        <w:top w:val="none" w:sz="0" w:space="0" w:color="auto"/>
        <w:left w:val="none" w:sz="0" w:space="0" w:color="auto"/>
        <w:bottom w:val="none" w:sz="0" w:space="0" w:color="auto"/>
        <w:right w:val="none" w:sz="0" w:space="0" w:color="auto"/>
      </w:divBdr>
    </w:div>
    <w:div w:id="222955404">
      <w:bodyDiv w:val="1"/>
      <w:marLeft w:val="0"/>
      <w:marRight w:val="0"/>
      <w:marTop w:val="0"/>
      <w:marBottom w:val="0"/>
      <w:divBdr>
        <w:top w:val="none" w:sz="0" w:space="0" w:color="auto"/>
        <w:left w:val="none" w:sz="0" w:space="0" w:color="auto"/>
        <w:bottom w:val="none" w:sz="0" w:space="0" w:color="auto"/>
        <w:right w:val="none" w:sz="0" w:space="0" w:color="auto"/>
      </w:divBdr>
      <w:divsChild>
        <w:div w:id="746856">
          <w:marLeft w:val="0"/>
          <w:marRight w:val="0"/>
          <w:marTop w:val="0"/>
          <w:marBottom w:val="0"/>
          <w:divBdr>
            <w:top w:val="none" w:sz="0" w:space="0" w:color="auto"/>
            <w:left w:val="none" w:sz="0" w:space="0" w:color="auto"/>
            <w:bottom w:val="none" w:sz="0" w:space="0" w:color="auto"/>
            <w:right w:val="none" w:sz="0" w:space="0" w:color="auto"/>
          </w:divBdr>
        </w:div>
        <w:div w:id="31729830">
          <w:marLeft w:val="0"/>
          <w:marRight w:val="0"/>
          <w:marTop w:val="0"/>
          <w:marBottom w:val="0"/>
          <w:divBdr>
            <w:top w:val="none" w:sz="0" w:space="0" w:color="auto"/>
            <w:left w:val="none" w:sz="0" w:space="0" w:color="auto"/>
            <w:bottom w:val="none" w:sz="0" w:space="0" w:color="auto"/>
            <w:right w:val="none" w:sz="0" w:space="0" w:color="auto"/>
          </w:divBdr>
        </w:div>
        <w:div w:id="90318845">
          <w:marLeft w:val="0"/>
          <w:marRight w:val="0"/>
          <w:marTop w:val="0"/>
          <w:marBottom w:val="0"/>
          <w:divBdr>
            <w:top w:val="none" w:sz="0" w:space="0" w:color="auto"/>
            <w:left w:val="none" w:sz="0" w:space="0" w:color="auto"/>
            <w:bottom w:val="none" w:sz="0" w:space="0" w:color="auto"/>
            <w:right w:val="none" w:sz="0" w:space="0" w:color="auto"/>
          </w:divBdr>
        </w:div>
        <w:div w:id="151801975">
          <w:marLeft w:val="0"/>
          <w:marRight w:val="0"/>
          <w:marTop w:val="0"/>
          <w:marBottom w:val="0"/>
          <w:divBdr>
            <w:top w:val="none" w:sz="0" w:space="0" w:color="auto"/>
            <w:left w:val="none" w:sz="0" w:space="0" w:color="auto"/>
            <w:bottom w:val="none" w:sz="0" w:space="0" w:color="auto"/>
            <w:right w:val="none" w:sz="0" w:space="0" w:color="auto"/>
          </w:divBdr>
        </w:div>
        <w:div w:id="557594494">
          <w:marLeft w:val="0"/>
          <w:marRight w:val="0"/>
          <w:marTop w:val="0"/>
          <w:marBottom w:val="0"/>
          <w:divBdr>
            <w:top w:val="none" w:sz="0" w:space="0" w:color="auto"/>
            <w:left w:val="none" w:sz="0" w:space="0" w:color="auto"/>
            <w:bottom w:val="none" w:sz="0" w:space="0" w:color="auto"/>
            <w:right w:val="none" w:sz="0" w:space="0" w:color="auto"/>
          </w:divBdr>
        </w:div>
        <w:div w:id="745418240">
          <w:marLeft w:val="0"/>
          <w:marRight w:val="0"/>
          <w:marTop w:val="0"/>
          <w:marBottom w:val="0"/>
          <w:divBdr>
            <w:top w:val="none" w:sz="0" w:space="0" w:color="auto"/>
            <w:left w:val="none" w:sz="0" w:space="0" w:color="auto"/>
            <w:bottom w:val="none" w:sz="0" w:space="0" w:color="auto"/>
            <w:right w:val="none" w:sz="0" w:space="0" w:color="auto"/>
          </w:divBdr>
        </w:div>
        <w:div w:id="1004821684">
          <w:marLeft w:val="0"/>
          <w:marRight w:val="0"/>
          <w:marTop w:val="0"/>
          <w:marBottom w:val="0"/>
          <w:divBdr>
            <w:top w:val="none" w:sz="0" w:space="0" w:color="auto"/>
            <w:left w:val="none" w:sz="0" w:space="0" w:color="auto"/>
            <w:bottom w:val="none" w:sz="0" w:space="0" w:color="auto"/>
            <w:right w:val="none" w:sz="0" w:space="0" w:color="auto"/>
          </w:divBdr>
        </w:div>
        <w:div w:id="1165127728">
          <w:marLeft w:val="0"/>
          <w:marRight w:val="0"/>
          <w:marTop w:val="0"/>
          <w:marBottom w:val="0"/>
          <w:divBdr>
            <w:top w:val="none" w:sz="0" w:space="0" w:color="auto"/>
            <w:left w:val="none" w:sz="0" w:space="0" w:color="auto"/>
            <w:bottom w:val="none" w:sz="0" w:space="0" w:color="auto"/>
            <w:right w:val="none" w:sz="0" w:space="0" w:color="auto"/>
          </w:divBdr>
        </w:div>
        <w:div w:id="1757626137">
          <w:marLeft w:val="0"/>
          <w:marRight w:val="0"/>
          <w:marTop w:val="0"/>
          <w:marBottom w:val="0"/>
          <w:divBdr>
            <w:top w:val="none" w:sz="0" w:space="0" w:color="auto"/>
            <w:left w:val="none" w:sz="0" w:space="0" w:color="auto"/>
            <w:bottom w:val="none" w:sz="0" w:space="0" w:color="auto"/>
            <w:right w:val="none" w:sz="0" w:space="0" w:color="auto"/>
          </w:divBdr>
        </w:div>
        <w:div w:id="2009096529">
          <w:marLeft w:val="0"/>
          <w:marRight w:val="0"/>
          <w:marTop w:val="0"/>
          <w:marBottom w:val="0"/>
          <w:divBdr>
            <w:top w:val="none" w:sz="0" w:space="0" w:color="auto"/>
            <w:left w:val="none" w:sz="0" w:space="0" w:color="auto"/>
            <w:bottom w:val="none" w:sz="0" w:space="0" w:color="auto"/>
            <w:right w:val="none" w:sz="0" w:space="0" w:color="auto"/>
          </w:divBdr>
        </w:div>
      </w:divsChild>
    </w:div>
    <w:div w:id="224222160">
      <w:bodyDiv w:val="1"/>
      <w:marLeft w:val="0"/>
      <w:marRight w:val="0"/>
      <w:marTop w:val="0"/>
      <w:marBottom w:val="0"/>
      <w:divBdr>
        <w:top w:val="none" w:sz="0" w:space="0" w:color="auto"/>
        <w:left w:val="none" w:sz="0" w:space="0" w:color="auto"/>
        <w:bottom w:val="none" w:sz="0" w:space="0" w:color="auto"/>
        <w:right w:val="none" w:sz="0" w:space="0" w:color="auto"/>
      </w:divBdr>
    </w:div>
    <w:div w:id="268247189">
      <w:bodyDiv w:val="1"/>
      <w:marLeft w:val="0"/>
      <w:marRight w:val="0"/>
      <w:marTop w:val="0"/>
      <w:marBottom w:val="0"/>
      <w:divBdr>
        <w:top w:val="none" w:sz="0" w:space="0" w:color="auto"/>
        <w:left w:val="none" w:sz="0" w:space="0" w:color="auto"/>
        <w:bottom w:val="none" w:sz="0" w:space="0" w:color="auto"/>
        <w:right w:val="none" w:sz="0" w:space="0" w:color="auto"/>
      </w:divBdr>
    </w:div>
    <w:div w:id="277295710">
      <w:bodyDiv w:val="1"/>
      <w:marLeft w:val="0"/>
      <w:marRight w:val="0"/>
      <w:marTop w:val="0"/>
      <w:marBottom w:val="0"/>
      <w:divBdr>
        <w:top w:val="none" w:sz="0" w:space="0" w:color="auto"/>
        <w:left w:val="none" w:sz="0" w:space="0" w:color="auto"/>
        <w:bottom w:val="none" w:sz="0" w:space="0" w:color="auto"/>
        <w:right w:val="none" w:sz="0" w:space="0" w:color="auto"/>
      </w:divBdr>
    </w:div>
    <w:div w:id="285700042">
      <w:bodyDiv w:val="1"/>
      <w:marLeft w:val="0"/>
      <w:marRight w:val="0"/>
      <w:marTop w:val="0"/>
      <w:marBottom w:val="0"/>
      <w:divBdr>
        <w:top w:val="none" w:sz="0" w:space="0" w:color="auto"/>
        <w:left w:val="none" w:sz="0" w:space="0" w:color="auto"/>
        <w:bottom w:val="none" w:sz="0" w:space="0" w:color="auto"/>
        <w:right w:val="none" w:sz="0" w:space="0" w:color="auto"/>
      </w:divBdr>
    </w:div>
    <w:div w:id="347295174">
      <w:bodyDiv w:val="1"/>
      <w:marLeft w:val="0"/>
      <w:marRight w:val="0"/>
      <w:marTop w:val="0"/>
      <w:marBottom w:val="0"/>
      <w:divBdr>
        <w:top w:val="none" w:sz="0" w:space="0" w:color="auto"/>
        <w:left w:val="none" w:sz="0" w:space="0" w:color="auto"/>
        <w:bottom w:val="none" w:sz="0" w:space="0" w:color="auto"/>
        <w:right w:val="none" w:sz="0" w:space="0" w:color="auto"/>
      </w:divBdr>
    </w:div>
    <w:div w:id="372463896">
      <w:bodyDiv w:val="1"/>
      <w:marLeft w:val="0"/>
      <w:marRight w:val="0"/>
      <w:marTop w:val="0"/>
      <w:marBottom w:val="0"/>
      <w:divBdr>
        <w:top w:val="none" w:sz="0" w:space="0" w:color="auto"/>
        <w:left w:val="none" w:sz="0" w:space="0" w:color="auto"/>
        <w:bottom w:val="none" w:sz="0" w:space="0" w:color="auto"/>
        <w:right w:val="none" w:sz="0" w:space="0" w:color="auto"/>
      </w:divBdr>
      <w:divsChild>
        <w:div w:id="945773678">
          <w:marLeft w:val="0"/>
          <w:marRight w:val="0"/>
          <w:marTop w:val="0"/>
          <w:marBottom w:val="0"/>
          <w:divBdr>
            <w:top w:val="none" w:sz="0" w:space="0" w:color="auto"/>
            <w:left w:val="none" w:sz="0" w:space="0" w:color="auto"/>
            <w:bottom w:val="none" w:sz="0" w:space="0" w:color="auto"/>
            <w:right w:val="none" w:sz="0" w:space="0" w:color="auto"/>
          </w:divBdr>
          <w:divsChild>
            <w:div w:id="4862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714">
      <w:bodyDiv w:val="1"/>
      <w:marLeft w:val="0"/>
      <w:marRight w:val="0"/>
      <w:marTop w:val="0"/>
      <w:marBottom w:val="0"/>
      <w:divBdr>
        <w:top w:val="none" w:sz="0" w:space="0" w:color="auto"/>
        <w:left w:val="none" w:sz="0" w:space="0" w:color="auto"/>
        <w:bottom w:val="none" w:sz="0" w:space="0" w:color="auto"/>
        <w:right w:val="none" w:sz="0" w:space="0" w:color="auto"/>
      </w:divBdr>
    </w:div>
    <w:div w:id="507987542">
      <w:bodyDiv w:val="1"/>
      <w:marLeft w:val="0"/>
      <w:marRight w:val="0"/>
      <w:marTop w:val="0"/>
      <w:marBottom w:val="0"/>
      <w:divBdr>
        <w:top w:val="none" w:sz="0" w:space="0" w:color="auto"/>
        <w:left w:val="none" w:sz="0" w:space="0" w:color="auto"/>
        <w:bottom w:val="none" w:sz="0" w:space="0" w:color="auto"/>
        <w:right w:val="none" w:sz="0" w:space="0" w:color="auto"/>
      </w:divBdr>
      <w:divsChild>
        <w:div w:id="639303891">
          <w:marLeft w:val="0"/>
          <w:marRight w:val="0"/>
          <w:marTop w:val="0"/>
          <w:marBottom w:val="0"/>
          <w:divBdr>
            <w:top w:val="none" w:sz="0" w:space="0" w:color="auto"/>
            <w:left w:val="none" w:sz="0" w:space="0" w:color="auto"/>
            <w:bottom w:val="none" w:sz="0" w:space="0" w:color="auto"/>
            <w:right w:val="none" w:sz="0" w:space="0" w:color="auto"/>
          </w:divBdr>
          <w:divsChild>
            <w:div w:id="10927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6748">
      <w:bodyDiv w:val="1"/>
      <w:marLeft w:val="0"/>
      <w:marRight w:val="0"/>
      <w:marTop w:val="0"/>
      <w:marBottom w:val="0"/>
      <w:divBdr>
        <w:top w:val="none" w:sz="0" w:space="0" w:color="auto"/>
        <w:left w:val="none" w:sz="0" w:space="0" w:color="auto"/>
        <w:bottom w:val="none" w:sz="0" w:space="0" w:color="auto"/>
        <w:right w:val="none" w:sz="0" w:space="0" w:color="auto"/>
      </w:divBdr>
    </w:div>
    <w:div w:id="557521809">
      <w:bodyDiv w:val="1"/>
      <w:marLeft w:val="0"/>
      <w:marRight w:val="0"/>
      <w:marTop w:val="0"/>
      <w:marBottom w:val="0"/>
      <w:divBdr>
        <w:top w:val="none" w:sz="0" w:space="0" w:color="auto"/>
        <w:left w:val="none" w:sz="0" w:space="0" w:color="auto"/>
        <w:bottom w:val="none" w:sz="0" w:space="0" w:color="auto"/>
        <w:right w:val="none" w:sz="0" w:space="0" w:color="auto"/>
      </w:divBdr>
    </w:div>
    <w:div w:id="646858900">
      <w:bodyDiv w:val="1"/>
      <w:marLeft w:val="0"/>
      <w:marRight w:val="0"/>
      <w:marTop w:val="0"/>
      <w:marBottom w:val="0"/>
      <w:divBdr>
        <w:top w:val="none" w:sz="0" w:space="0" w:color="auto"/>
        <w:left w:val="none" w:sz="0" w:space="0" w:color="auto"/>
        <w:bottom w:val="none" w:sz="0" w:space="0" w:color="auto"/>
        <w:right w:val="none" w:sz="0" w:space="0" w:color="auto"/>
      </w:divBdr>
    </w:div>
    <w:div w:id="647395264">
      <w:bodyDiv w:val="1"/>
      <w:marLeft w:val="0"/>
      <w:marRight w:val="0"/>
      <w:marTop w:val="0"/>
      <w:marBottom w:val="0"/>
      <w:divBdr>
        <w:top w:val="none" w:sz="0" w:space="0" w:color="auto"/>
        <w:left w:val="none" w:sz="0" w:space="0" w:color="auto"/>
        <w:bottom w:val="none" w:sz="0" w:space="0" w:color="auto"/>
        <w:right w:val="none" w:sz="0" w:space="0" w:color="auto"/>
      </w:divBdr>
    </w:div>
    <w:div w:id="681050926">
      <w:bodyDiv w:val="1"/>
      <w:marLeft w:val="0"/>
      <w:marRight w:val="0"/>
      <w:marTop w:val="0"/>
      <w:marBottom w:val="0"/>
      <w:divBdr>
        <w:top w:val="none" w:sz="0" w:space="0" w:color="auto"/>
        <w:left w:val="none" w:sz="0" w:space="0" w:color="auto"/>
        <w:bottom w:val="none" w:sz="0" w:space="0" w:color="auto"/>
        <w:right w:val="none" w:sz="0" w:space="0" w:color="auto"/>
      </w:divBdr>
    </w:div>
    <w:div w:id="709452713">
      <w:bodyDiv w:val="1"/>
      <w:marLeft w:val="0"/>
      <w:marRight w:val="0"/>
      <w:marTop w:val="0"/>
      <w:marBottom w:val="0"/>
      <w:divBdr>
        <w:top w:val="none" w:sz="0" w:space="0" w:color="auto"/>
        <w:left w:val="none" w:sz="0" w:space="0" w:color="auto"/>
        <w:bottom w:val="none" w:sz="0" w:space="0" w:color="auto"/>
        <w:right w:val="none" w:sz="0" w:space="0" w:color="auto"/>
      </w:divBdr>
      <w:divsChild>
        <w:div w:id="749697127">
          <w:marLeft w:val="0"/>
          <w:marRight w:val="0"/>
          <w:marTop w:val="0"/>
          <w:marBottom w:val="0"/>
          <w:divBdr>
            <w:top w:val="none" w:sz="0" w:space="0" w:color="auto"/>
            <w:left w:val="none" w:sz="0" w:space="0" w:color="auto"/>
            <w:bottom w:val="none" w:sz="0" w:space="0" w:color="auto"/>
            <w:right w:val="none" w:sz="0" w:space="0" w:color="auto"/>
          </w:divBdr>
          <w:divsChild>
            <w:div w:id="1861627698">
              <w:marLeft w:val="0"/>
              <w:marRight w:val="0"/>
              <w:marTop w:val="0"/>
              <w:marBottom w:val="150"/>
              <w:divBdr>
                <w:top w:val="none" w:sz="0" w:space="0" w:color="auto"/>
                <w:left w:val="none" w:sz="0" w:space="0" w:color="auto"/>
                <w:bottom w:val="none" w:sz="0" w:space="0" w:color="auto"/>
                <w:right w:val="none" w:sz="0" w:space="0" w:color="auto"/>
              </w:divBdr>
            </w:div>
          </w:divsChild>
        </w:div>
        <w:div w:id="1398938715">
          <w:marLeft w:val="0"/>
          <w:marRight w:val="0"/>
          <w:marTop w:val="0"/>
          <w:marBottom w:val="0"/>
          <w:divBdr>
            <w:top w:val="none" w:sz="0" w:space="0" w:color="auto"/>
            <w:left w:val="none" w:sz="0" w:space="0" w:color="auto"/>
            <w:bottom w:val="none" w:sz="0" w:space="0" w:color="auto"/>
            <w:right w:val="none" w:sz="0" w:space="0" w:color="auto"/>
          </w:divBdr>
          <w:divsChild>
            <w:div w:id="1949507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3965606">
      <w:bodyDiv w:val="1"/>
      <w:marLeft w:val="0"/>
      <w:marRight w:val="0"/>
      <w:marTop w:val="0"/>
      <w:marBottom w:val="0"/>
      <w:divBdr>
        <w:top w:val="none" w:sz="0" w:space="0" w:color="auto"/>
        <w:left w:val="none" w:sz="0" w:space="0" w:color="auto"/>
        <w:bottom w:val="none" w:sz="0" w:space="0" w:color="auto"/>
        <w:right w:val="none" w:sz="0" w:space="0" w:color="auto"/>
      </w:divBdr>
    </w:div>
    <w:div w:id="721174123">
      <w:bodyDiv w:val="1"/>
      <w:marLeft w:val="0"/>
      <w:marRight w:val="0"/>
      <w:marTop w:val="0"/>
      <w:marBottom w:val="0"/>
      <w:divBdr>
        <w:top w:val="none" w:sz="0" w:space="0" w:color="auto"/>
        <w:left w:val="none" w:sz="0" w:space="0" w:color="auto"/>
        <w:bottom w:val="none" w:sz="0" w:space="0" w:color="auto"/>
        <w:right w:val="none" w:sz="0" w:space="0" w:color="auto"/>
      </w:divBdr>
      <w:divsChild>
        <w:div w:id="1969360177">
          <w:marLeft w:val="0"/>
          <w:marRight w:val="0"/>
          <w:marTop w:val="0"/>
          <w:marBottom w:val="0"/>
          <w:divBdr>
            <w:top w:val="none" w:sz="0" w:space="0" w:color="auto"/>
            <w:left w:val="none" w:sz="0" w:space="0" w:color="auto"/>
            <w:bottom w:val="none" w:sz="0" w:space="0" w:color="auto"/>
            <w:right w:val="none" w:sz="0" w:space="0" w:color="auto"/>
          </w:divBdr>
          <w:divsChild>
            <w:div w:id="1519852432">
              <w:marLeft w:val="0"/>
              <w:marRight w:val="0"/>
              <w:marTop w:val="0"/>
              <w:marBottom w:val="0"/>
              <w:divBdr>
                <w:top w:val="none" w:sz="0" w:space="0" w:color="auto"/>
                <w:left w:val="none" w:sz="0" w:space="0" w:color="auto"/>
                <w:bottom w:val="none" w:sz="0" w:space="0" w:color="auto"/>
                <w:right w:val="none" w:sz="0" w:space="0" w:color="auto"/>
              </w:divBdr>
              <w:divsChild>
                <w:div w:id="1822769602">
                  <w:marLeft w:val="0"/>
                  <w:marRight w:val="0"/>
                  <w:marTop w:val="0"/>
                  <w:marBottom w:val="0"/>
                  <w:divBdr>
                    <w:top w:val="none" w:sz="0" w:space="0" w:color="auto"/>
                    <w:left w:val="none" w:sz="0" w:space="0" w:color="auto"/>
                    <w:bottom w:val="none" w:sz="0" w:space="0" w:color="auto"/>
                    <w:right w:val="none" w:sz="0" w:space="0" w:color="auto"/>
                  </w:divBdr>
                  <w:divsChild>
                    <w:div w:id="585572851">
                      <w:marLeft w:val="0"/>
                      <w:marRight w:val="0"/>
                      <w:marTop w:val="0"/>
                      <w:marBottom w:val="0"/>
                      <w:divBdr>
                        <w:top w:val="none" w:sz="0" w:space="0" w:color="auto"/>
                        <w:left w:val="none" w:sz="0" w:space="0" w:color="auto"/>
                        <w:bottom w:val="none" w:sz="0" w:space="0" w:color="auto"/>
                        <w:right w:val="none" w:sz="0" w:space="0" w:color="auto"/>
                      </w:divBdr>
                      <w:divsChild>
                        <w:div w:id="342710793">
                          <w:marLeft w:val="0"/>
                          <w:marRight w:val="0"/>
                          <w:marTop w:val="0"/>
                          <w:marBottom w:val="0"/>
                          <w:divBdr>
                            <w:top w:val="none" w:sz="0" w:space="0" w:color="auto"/>
                            <w:left w:val="none" w:sz="0" w:space="0" w:color="auto"/>
                            <w:bottom w:val="none" w:sz="0" w:space="0" w:color="auto"/>
                            <w:right w:val="none" w:sz="0" w:space="0" w:color="auto"/>
                          </w:divBdr>
                          <w:divsChild>
                            <w:div w:id="1516112584">
                              <w:marLeft w:val="0"/>
                              <w:marRight w:val="0"/>
                              <w:marTop w:val="0"/>
                              <w:marBottom w:val="0"/>
                              <w:divBdr>
                                <w:top w:val="none" w:sz="0" w:space="0" w:color="auto"/>
                                <w:left w:val="none" w:sz="0" w:space="0" w:color="auto"/>
                                <w:bottom w:val="none" w:sz="0" w:space="0" w:color="auto"/>
                                <w:right w:val="none" w:sz="0" w:space="0" w:color="auto"/>
                              </w:divBdr>
                              <w:divsChild>
                                <w:div w:id="2124759430">
                                  <w:marLeft w:val="0"/>
                                  <w:marRight w:val="0"/>
                                  <w:marTop w:val="0"/>
                                  <w:marBottom w:val="0"/>
                                  <w:divBdr>
                                    <w:top w:val="none" w:sz="0" w:space="0" w:color="auto"/>
                                    <w:left w:val="none" w:sz="0" w:space="0" w:color="auto"/>
                                    <w:bottom w:val="none" w:sz="0" w:space="0" w:color="auto"/>
                                    <w:right w:val="none" w:sz="0" w:space="0" w:color="auto"/>
                                  </w:divBdr>
                                  <w:divsChild>
                                    <w:div w:id="1352142632">
                                      <w:marLeft w:val="0"/>
                                      <w:marRight w:val="0"/>
                                      <w:marTop w:val="0"/>
                                      <w:marBottom w:val="0"/>
                                      <w:divBdr>
                                        <w:top w:val="none" w:sz="0" w:space="0" w:color="auto"/>
                                        <w:left w:val="none" w:sz="0" w:space="0" w:color="auto"/>
                                        <w:bottom w:val="none" w:sz="0" w:space="0" w:color="auto"/>
                                        <w:right w:val="none" w:sz="0" w:space="0" w:color="auto"/>
                                      </w:divBdr>
                                      <w:divsChild>
                                        <w:div w:id="892303400">
                                          <w:marLeft w:val="0"/>
                                          <w:marRight w:val="0"/>
                                          <w:marTop w:val="0"/>
                                          <w:marBottom w:val="0"/>
                                          <w:divBdr>
                                            <w:top w:val="none" w:sz="0" w:space="0" w:color="auto"/>
                                            <w:left w:val="none" w:sz="0" w:space="0" w:color="auto"/>
                                            <w:bottom w:val="none" w:sz="0" w:space="0" w:color="auto"/>
                                            <w:right w:val="none" w:sz="0" w:space="0" w:color="auto"/>
                                          </w:divBdr>
                                          <w:divsChild>
                                            <w:div w:id="947586767">
                                              <w:marLeft w:val="0"/>
                                              <w:marRight w:val="0"/>
                                              <w:marTop w:val="0"/>
                                              <w:marBottom w:val="0"/>
                                              <w:divBdr>
                                                <w:top w:val="none" w:sz="0" w:space="0" w:color="auto"/>
                                                <w:left w:val="none" w:sz="0" w:space="0" w:color="auto"/>
                                                <w:bottom w:val="none" w:sz="0" w:space="0" w:color="auto"/>
                                                <w:right w:val="none" w:sz="0" w:space="0" w:color="auto"/>
                                              </w:divBdr>
                                              <w:divsChild>
                                                <w:div w:id="1814909509">
                                                  <w:marLeft w:val="0"/>
                                                  <w:marRight w:val="0"/>
                                                  <w:marTop w:val="0"/>
                                                  <w:marBottom w:val="0"/>
                                                  <w:divBdr>
                                                    <w:top w:val="single" w:sz="12" w:space="2" w:color="FFFFCC"/>
                                                    <w:left w:val="single" w:sz="12" w:space="2" w:color="FFFFCC"/>
                                                    <w:bottom w:val="single" w:sz="12" w:space="2" w:color="FFFFCC"/>
                                                    <w:right w:val="single" w:sz="12" w:space="0" w:color="FFFFCC"/>
                                                  </w:divBdr>
                                                  <w:divsChild>
                                                    <w:div w:id="434788494">
                                                      <w:marLeft w:val="0"/>
                                                      <w:marRight w:val="0"/>
                                                      <w:marTop w:val="0"/>
                                                      <w:marBottom w:val="0"/>
                                                      <w:divBdr>
                                                        <w:top w:val="none" w:sz="0" w:space="0" w:color="auto"/>
                                                        <w:left w:val="none" w:sz="0" w:space="0" w:color="auto"/>
                                                        <w:bottom w:val="none" w:sz="0" w:space="0" w:color="auto"/>
                                                        <w:right w:val="none" w:sz="0" w:space="0" w:color="auto"/>
                                                      </w:divBdr>
                                                      <w:divsChild>
                                                        <w:div w:id="1186552158">
                                                          <w:marLeft w:val="0"/>
                                                          <w:marRight w:val="0"/>
                                                          <w:marTop w:val="0"/>
                                                          <w:marBottom w:val="0"/>
                                                          <w:divBdr>
                                                            <w:top w:val="none" w:sz="0" w:space="0" w:color="auto"/>
                                                            <w:left w:val="none" w:sz="0" w:space="0" w:color="auto"/>
                                                            <w:bottom w:val="none" w:sz="0" w:space="0" w:color="auto"/>
                                                            <w:right w:val="none" w:sz="0" w:space="0" w:color="auto"/>
                                                          </w:divBdr>
                                                          <w:divsChild>
                                                            <w:div w:id="345526493">
                                                              <w:marLeft w:val="0"/>
                                                              <w:marRight w:val="0"/>
                                                              <w:marTop w:val="0"/>
                                                              <w:marBottom w:val="0"/>
                                                              <w:divBdr>
                                                                <w:top w:val="none" w:sz="0" w:space="0" w:color="auto"/>
                                                                <w:left w:val="none" w:sz="0" w:space="0" w:color="auto"/>
                                                                <w:bottom w:val="none" w:sz="0" w:space="0" w:color="auto"/>
                                                                <w:right w:val="none" w:sz="0" w:space="0" w:color="auto"/>
                                                              </w:divBdr>
                                                              <w:divsChild>
                                                                <w:div w:id="1902666276">
                                                                  <w:marLeft w:val="0"/>
                                                                  <w:marRight w:val="0"/>
                                                                  <w:marTop w:val="0"/>
                                                                  <w:marBottom w:val="0"/>
                                                                  <w:divBdr>
                                                                    <w:top w:val="none" w:sz="0" w:space="0" w:color="auto"/>
                                                                    <w:left w:val="none" w:sz="0" w:space="0" w:color="auto"/>
                                                                    <w:bottom w:val="none" w:sz="0" w:space="0" w:color="auto"/>
                                                                    <w:right w:val="none" w:sz="0" w:space="0" w:color="auto"/>
                                                                  </w:divBdr>
                                                                  <w:divsChild>
                                                                    <w:div w:id="1201477119">
                                                                      <w:marLeft w:val="0"/>
                                                                      <w:marRight w:val="0"/>
                                                                      <w:marTop w:val="0"/>
                                                                      <w:marBottom w:val="0"/>
                                                                      <w:divBdr>
                                                                        <w:top w:val="none" w:sz="0" w:space="0" w:color="auto"/>
                                                                        <w:left w:val="none" w:sz="0" w:space="0" w:color="auto"/>
                                                                        <w:bottom w:val="none" w:sz="0" w:space="0" w:color="auto"/>
                                                                        <w:right w:val="none" w:sz="0" w:space="0" w:color="auto"/>
                                                                      </w:divBdr>
                                                                      <w:divsChild>
                                                                        <w:div w:id="1596094789">
                                                                          <w:marLeft w:val="0"/>
                                                                          <w:marRight w:val="0"/>
                                                                          <w:marTop w:val="0"/>
                                                                          <w:marBottom w:val="0"/>
                                                                          <w:divBdr>
                                                                            <w:top w:val="none" w:sz="0" w:space="0" w:color="auto"/>
                                                                            <w:left w:val="none" w:sz="0" w:space="0" w:color="auto"/>
                                                                            <w:bottom w:val="none" w:sz="0" w:space="0" w:color="auto"/>
                                                                            <w:right w:val="none" w:sz="0" w:space="0" w:color="auto"/>
                                                                          </w:divBdr>
                                                                          <w:divsChild>
                                                                            <w:div w:id="2063937792">
                                                                              <w:marLeft w:val="0"/>
                                                                              <w:marRight w:val="0"/>
                                                                              <w:marTop w:val="0"/>
                                                                              <w:marBottom w:val="0"/>
                                                                              <w:divBdr>
                                                                                <w:top w:val="none" w:sz="0" w:space="0" w:color="auto"/>
                                                                                <w:left w:val="none" w:sz="0" w:space="0" w:color="auto"/>
                                                                                <w:bottom w:val="none" w:sz="0" w:space="0" w:color="auto"/>
                                                                                <w:right w:val="none" w:sz="0" w:space="0" w:color="auto"/>
                                                                              </w:divBdr>
                                                                              <w:divsChild>
                                                                                <w:div w:id="792216464">
                                                                                  <w:marLeft w:val="0"/>
                                                                                  <w:marRight w:val="0"/>
                                                                                  <w:marTop w:val="0"/>
                                                                                  <w:marBottom w:val="0"/>
                                                                                  <w:divBdr>
                                                                                    <w:top w:val="none" w:sz="0" w:space="0" w:color="auto"/>
                                                                                    <w:left w:val="none" w:sz="0" w:space="0" w:color="auto"/>
                                                                                    <w:bottom w:val="none" w:sz="0" w:space="0" w:color="auto"/>
                                                                                    <w:right w:val="none" w:sz="0" w:space="0" w:color="auto"/>
                                                                                  </w:divBdr>
                                                                                  <w:divsChild>
                                                                                    <w:div w:id="854613260">
                                                                                      <w:marLeft w:val="0"/>
                                                                                      <w:marRight w:val="0"/>
                                                                                      <w:marTop w:val="0"/>
                                                                                      <w:marBottom w:val="0"/>
                                                                                      <w:divBdr>
                                                                                        <w:top w:val="none" w:sz="0" w:space="0" w:color="auto"/>
                                                                                        <w:left w:val="none" w:sz="0" w:space="0" w:color="auto"/>
                                                                                        <w:bottom w:val="none" w:sz="0" w:space="0" w:color="auto"/>
                                                                                        <w:right w:val="none" w:sz="0" w:space="0" w:color="auto"/>
                                                                                      </w:divBdr>
                                                                                      <w:divsChild>
                                                                                        <w:div w:id="1400254225">
                                                                                          <w:marLeft w:val="0"/>
                                                                                          <w:marRight w:val="0"/>
                                                                                          <w:marTop w:val="0"/>
                                                                                          <w:marBottom w:val="0"/>
                                                                                          <w:divBdr>
                                                                                            <w:top w:val="none" w:sz="0" w:space="0" w:color="auto"/>
                                                                                            <w:left w:val="none" w:sz="0" w:space="0" w:color="auto"/>
                                                                                            <w:bottom w:val="none" w:sz="0" w:space="0" w:color="auto"/>
                                                                                            <w:right w:val="none" w:sz="0" w:space="0" w:color="auto"/>
                                                                                          </w:divBdr>
                                                                                          <w:divsChild>
                                                                                            <w:div w:id="1765568866">
                                                                                              <w:marLeft w:val="0"/>
                                                                                              <w:marRight w:val="120"/>
                                                                                              <w:marTop w:val="0"/>
                                                                                              <w:marBottom w:val="150"/>
                                                                                              <w:divBdr>
                                                                                                <w:top w:val="single" w:sz="2" w:space="0" w:color="EFEFEF"/>
                                                                                                <w:left w:val="single" w:sz="6" w:space="0" w:color="EFEFEF"/>
                                                                                                <w:bottom w:val="single" w:sz="6" w:space="0" w:color="E2E2E2"/>
                                                                                                <w:right w:val="single" w:sz="6" w:space="0" w:color="EFEFEF"/>
                                                                                              </w:divBdr>
                                                                                              <w:divsChild>
                                                                                                <w:div w:id="34039754">
                                                                                                  <w:marLeft w:val="0"/>
                                                                                                  <w:marRight w:val="0"/>
                                                                                                  <w:marTop w:val="0"/>
                                                                                                  <w:marBottom w:val="0"/>
                                                                                                  <w:divBdr>
                                                                                                    <w:top w:val="none" w:sz="0" w:space="0" w:color="auto"/>
                                                                                                    <w:left w:val="none" w:sz="0" w:space="0" w:color="auto"/>
                                                                                                    <w:bottom w:val="none" w:sz="0" w:space="0" w:color="auto"/>
                                                                                                    <w:right w:val="none" w:sz="0" w:space="0" w:color="auto"/>
                                                                                                  </w:divBdr>
                                                                                                  <w:divsChild>
                                                                                                    <w:div w:id="1042707691">
                                                                                                      <w:marLeft w:val="0"/>
                                                                                                      <w:marRight w:val="0"/>
                                                                                                      <w:marTop w:val="0"/>
                                                                                                      <w:marBottom w:val="0"/>
                                                                                                      <w:divBdr>
                                                                                                        <w:top w:val="none" w:sz="0" w:space="0" w:color="auto"/>
                                                                                                        <w:left w:val="none" w:sz="0" w:space="0" w:color="auto"/>
                                                                                                        <w:bottom w:val="none" w:sz="0" w:space="0" w:color="auto"/>
                                                                                                        <w:right w:val="none" w:sz="0" w:space="0" w:color="auto"/>
                                                                                                      </w:divBdr>
                                                                                                      <w:divsChild>
                                                                                                        <w:div w:id="1072318033">
                                                                                                          <w:marLeft w:val="0"/>
                                                                                                          <w:marRight w:val="0"/>
                                                                                                          <w:marTop w:val="0"/>
                                                                                                          <w:marBottom w:val="0"/>
                                                                                                          <w:divBdr>
                                                                                                            <w:top w:val="none" w:sz="0" w:space="0" w:color="auto"/>
                                                                                                            <w:left w:val="none" w:sz="0" w:space="0" w:color="auto"/>
                                                                                                            <w:bottom w:val="none" w:sz="0" w:space="0" w:color="auto"/>
                                                                                                            <w:right w:val="none" w:sz="0" w:space="0" w:color="auto"/>
                                                                                                          </w:divBdr>
                                                                                                          <w:divsChild>
                                                                                                            <w:div w:id="252013524">
                                                                                                              <w:marLeft w:val="0"/>
                                                                                                              <w:marRight w:val="0"/>
                                                                                                              <w:marTop w:val="0"/>
                                                                                                              <w:marBottom w:val="0"/>
                                                                                                              <w:divBdr>
                                                                                                                <w:top w:val="none" w:sz="0" w:space="0" w:color="auto"/>
                                                                                                                <w:left w:val="none" w:sz="0" w:space="0" w:color="auto"/>
                                                                                                                <w:bottom w:val="none" w:sz="0" w:space="0" w:color="auto"/>
                                                                                                                <w:right w:val="none" w:sz="0" w:space="0" w:color="auto"/>
                                                                                                              </w:divBdr>
                                                                                                              <w:divsChild>
                                                                                                                <w:div w:id="985353161">
                                                                                                                  <w:marLeft w:val="0"/>
                                                                                                                  <w:marRight w:val="0"/>
                                                                                                                  <w:marTop w:val="0"/>
                                                                                                                  <w:marBottom w:val="0"/>
                                                                                                                  <w:divBdr>
                                                                                                                    <w:top w:val="none" w:sz="0" w:space="0" w:color="auto"/>
                                                                                                                    <w:left w:val="none" w:sz="0" w:space="0" w:color="auto"/>
                                                                                                                    <w:bottom w:val="none" w:sz="0" w:space="0" w:color="auto"/>
                                                                                                                    <w:right w:val="none" w:sz="0" w:space="0" w:color="auto"/>
                                                                                                                  </w:divBdr>
                                                                                                                  <w:divsChild>
                                                                                                                    <w:div w:id="17874595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29442221">
                                                                                                                          <w:marLeft w:val="225"/>
                                                                                                                          <w:marRight w:val="225"/>
                                                                                                                          <w:marTop w:val="75"/>
                                                                                                                          <w:marBottom w:val="75"/>
                                                                                                                          <w:divBdr>
                                                                                                                            <w:top w:val="none" w:sz="0" w:space="0" w:color="auto"/>
                                                                                                                            <w:left w:val="none" w:sz="0" w:space="0" w:color="auto"/>
                                                                                                                            <w:bottom w:val="none" w:sz="0" w:space="0" w:color="auto"/>
                                                                                                                            <w:right w:val="none" w:sz="0" w:space="0" w:color="auto"/>
                                                                                                                          </w:divBdr>
                                                                                                                          <w:divsChild>
                                                                                                                            <w:div w:id="1150437937">
                                                                                                                              <w:marLeft w:val="0"/>
                                                                                                                              <w:marRight w:val="0"/>
                                                                                                                              <w:marTop w:val="0"/>
                                                                                                                              <w:marBottom w:val="0"/>
                                                                                                                              <w:divBdr>
                                                                                                                                <w:top w:val="single" w:sz="6" w:space="0" w:color="auto"/>
                                                                                                                                <w:left w:val="single" w:sz="6" w:space="0" w:color="auto"/>
                                                                                                                                <w:bottom w:val="single" w:sz="6" w:space="0" w:color="auto"/>
                                                                                                                                <w:right w:val="single" w:sz="6" w:space="0" w:color="auto"/>
                                                                                                                              </w:divBdr>
                                                                                                                              <w:divsChild>
                                                                                                                                <w:div w:id="80759258">
                                                                                                                                  <w:marLeft w:val="0"/>
                                                                                                                                  <w:marRight w:val="0"/>
                                                                                                                                  <w:marTop w:val="0"/>
                                                                                                                                  <w:marBottom w:val="0"/>
                                                                                                                                  <w:divBdr>
                                                                                                                                    <w:top w:val="none" w:sz="0" w:space="0" w:color="auto"/>
                                                                                                                                    <w:left w:val="none" w:sz="0" w:space="0" w:color="auto"/>
                                                                                                                                    <w:bottom w:val="none" w:sz="0" w:space="0" w:color="auto"/>
                                                                                                                                    <w:right w:val="none" w:sz="0" w:space="0" w:color="auto"/>
                                                                                                                                  </w:divBdr>
                                                                                                                                  <w:divsChild>
                                                                                                                                    <w:div w:id="17935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290049">
      <w:bodyDiv w:val="1"/>
      <w:marLeft w:val="0"/>
      <w:marRight w:val="0"/>
      <w:marTop w:val="0"/>
      <w:marBottom w:val="0"/>
      <w:divBdr>
        <w:top w:val="none" w:sz="0" w:space="0" w:color="auto"/>
        <w:left w:val="none" w:sz="0" w:space="0" w:color="auto"/>
        <w:bottom w:val="none" w:sz="0" w:space="0" w:color="auto"/>
        <w:right w:val="none" w:sz="0" w:space="0" w:color="auto"/>
      </w:divBdr>
    </w:div>
    <w:div w:id="818575802">
      <w:bodyDiv w:val="1"/>
      <w:marLeft w:val="0"/>
      <w:marRight w:val="0"/>
      <w:marTop w:val="0"/>
      <w:marBottom w:val="0"/>
      <w:divBdr>
        <w:top w:val="none" w:sz="0" w:space="0" w:color="auto"/>
        <w:left w:val="none" w:sz="0" w:space="0" w:color="auto"/>
        <w:bottom w:val="none" w:sz="0" w:space="0" w:color="auto"/>
        <w:right w:val="none" w:sz="0" w:space="0" w:color="auto"/>
      </w:divBdr>
      <w:divsChild>
        <w:div w:id="1067455904">
          <w:marLeft w:val="0"/>
          <w:marRight w:val="0"/>
          <w:marTop w:val="0"/>
          <w:marBottom w:val="0"/>
          <w:divBdr>
            <w:top w:val="none" w:sz="0" w:space="0" w:color="auto"/>
            <w:left w:val="none" w:sz="0" w:space="0" w:color="auto"/>
            <w:bottom w:val="none" w:sz="0" w:space="0" w:color="auto"/>
            <w:right w:val="none" w:sz="0" w:space="0" w:color="auto"/>
          </w:divBdr>
          <w:divsChild>
            <w:div w:id="745148115">
              <w:marLeft w:val="0"/>
              <w:marRight w:val="0"/>
              <w:marTop w:val="0"/>
              <w:marBottom w:val="0"/>
              <w:divBdr>
                <w:top w:val="none" w:sz="0" w:space="0" w:color="auto"/>
                <w:left w:val="none" w:sz="0" w:space="0" w:color="auto"/>
                <w:bottom w:val="none" w:sz="0" w:space="0" w:color="auto"/>
                <w:right w:val="none" w:sz="0" w:space="0" w:color="auto"/>
              </w:divBdr>
              <w:divsChild>
                <w:div w:id="1275095962">
                  <w:marLeft w:val="0"/>
                  <w:marRight w:val="0"/>
                  <w:marTop w:val="0"/>
                  <w:marBottom w:val="0"/>
                  <w:divBdr>
                    <w:top w:val="none" w:sz="0" w:space="0" w:color="auto"/>
                    <w:left w:val="none" w:sz="0" w:space="0" w:color="auto"/>
                    <w:bottom w:val="none" w:sz="0" w:space="0" w:color="auto"/>
                    <w:right w:val="none" w:sz="0" w:space="0" w:color="auto"/>
                  </w:divBdr>
                  <w:divsChild>
                    <w:div w:id="2116556473">
                      <w:marLeft w:val="0"/>
                      <w:marRight w:val="0"/>
                      <w:marTop w:val="0"/>
                      <w:marBottom w:val="0"/>
                      <w:divBdr>
                        <w:top w:val="none" w:sz="0" w:space="0" w:color="auto"/>
                        <w:left w:val="none" w:sz="0" w:space="0" w:color="auto"/>
                        <w:bottom w:val="none" w:sz="0" w:space="0" w:color="auto"/>
                        <w:right w:val="none" w:sz="0" w:space="0" w:color="auto"/>
                      </w:divBdr>
                      <w:divsChild>
                        <w:div w:id="1948733062">
                          <w:marLeft w:val="0"/>
                          <w:marRight w:val="0"/>
                          <w:marTop w:val="0"/>
                          <w:marBottom w:val="0"/>
                          <w:divBdr>
                            <w:top w:val="none" w:sz="0" w:space="0" w:color="auto"/>
                            <w:left w:val="none" w:sz="0" w:space="0" w:color="auto"/>
                            <w:bottom w:val="none" w:sz="0" w:space="0" w:color="auto"/>
                            <w:right w:val="none" w:sz="0" w:space="0" w:color="auto"/>
                          </w:divBdr>
                          <w:divsChild>
                            <w:div w:id="2062048482">
                              <w:marLeft w:val="0"/>
                              <w:marRight w:val="0"/>
                              <w:marTop w:val="0"/>
                              <w:marBottom w:val="0"/>
                              <w:divBdr>
                                <w:top w:val="none" w:sz="0" w:space="0" w:color="auto"/>
                                <w:left w:val="none" w:sz="0" w:space="0" w:color="auto"/>
                                <w:bottom w:val="none" w:sz="0" w:space="0" w:color="auto"/>
                                <w:right w:val="none" w:sz="0" w:space="0" w:color="auto"/>
                              </w:divBdr>
                              <w:divsChild>
                                <w:div w:id="2022462623">
                                  <w:marLeft w:val="0"/>
                                  <w:marRight w:val="0"/>
                                  <w:marTop w:val="0"/>
                                  <w:marBottom w:val="0"/>
                                  <w:divBdr>
                                    <w:top w:val="none" w:sz="0" w:space="0" w:color="auto"/>
                                    <w:left w:val="none" w:sz="0" w:space="0" w:color="auto"/>
                                    <w:bottom w:val="none" w:sz="0" w:space="0" w:color="auto"/>
                                    <w:right w:val="none" w:sz="0" w:space="0" w:color="auto"/>
                                  </w:divBdr>
                                  <w:divsChild>
                                    <w:div w:id="1103307234">
                                      <w:marLeft w:val="0"/>
                                      <w:marRight w:val="0"/>
                                      <w:marTop w:val="0"/>
                                      <w:marBottom w:val="0"/>
                                      <w:divBdr>
                                        <w:top w:val="none" w:sz="0" w:space="0" w:color="auto"/>
                                        <w:left w:val="none" w:sz="0" w:space="0" w:color="auto"/>
                                        <w:bottom w:val="none" w:sz="0" w:space="0" w:color="auto"/>
                                        <w:right w:val="none" w:sz="0" w:space="0" w:color="auto"/>
                                      </w:divBdr>
                                      <w:divsChild>
                                        <w:div w:id="364260417">
                                          <w:marLeft w:val="0"/>
                                          <w:marRight w:val="0"/>
                                          <w:marTop w:val="0"/>
                                          <w:marBottom w:val="0"/>
                                          <w:divBdr>
                                            <w:top w:val="none" w:sz="0" w:space="0" w:color="auto"/>
                                            <w:left w:val="none" w:sz="0" w:space="0" w:color="auto"/>
                                            <w:bottom w:val="none" w:sz="0" w:space="0" w:color="auto"/>
                                            <w:right w:val="none" w:sz="0" w:space="0" w:color="auto"/>
                                          </w:divBdr>
                                          <w:divsChild>
                                            <w:div w:id="764420903">
                                              <w:marLeft w:val="0"/>
                                              <w:marRight w:val="0"/>
                                              <w:marTop w:val="0"/>
                                              <w:marBottom w:val="0"/>
                                              <w:divBdr>
                                                <w:top w:val="none" w:sz="0" w:space="0" w:color="auto"/>
                                                <w:left w:val="none" w:sz="0" w:space="0" w:color="auto"/>
                                                <w:bottom w:val="none" w:sz="0" w:space="0" w:color="auto"/>
                                                <w:right w:val="none" w:sz="0" w:space="0" w:color="auto"/>
                                              </w:divBdr>
                                              <w:divsChild>
                                                <w:div w:id="13578912">
                                                  <w:marLeft w:val="0"/>
                                                  <w:marRight w:val="0"/>
                                                  <w:marTop w:val="0"/>
                                                  <w:marBottom w:val="0"/>
                                                  <w:divBdr>
                                                    <w:top w:val="single" w:sz="12" w:space="2" w:color="FFFFCC"/>
                                                    <w:left w:val="single" w:sz="12" w:space="2" w:color="FFFFCC"/>
                                                    <w:bottom w:val="single" w:sz="12" w:space="2" w:color="FFFFCC"/>
                                                    <w:right w:val="single" w:sz="12" w:space="0" w:color="FFFFCC"/>
                                                  </w:divBdr>
                                                  <w:divsChild>
                                                    <w:div w:id="2071418786">
                                                      <w:marLeft w:val="0"/>
                                                      <w:marRight w:val="0"/>
                                                      <w:marTop w:val="0"/>
                                                      <w:marBottom w:val="0"/>
                                                      <w:divBdr>
                                                        <w:top w:val="none" w:sz="0" w:space="0" w:color="auto"/>
                                                        <w:left w:val="none" w:sz="0" w:space="0" w:color="auto"/>
                                                        <w:bottom w:val="none" w:sz="0" w:space="0" w:color="auto"/>
                                                        <w:right w:val="none" w:sz="0" w:space="0" w:color="auto"/>
                                                      </w:divBdr>
                                                      <w:divsChild>
                                                        <w:div w:id="1452551691">
                                                          <w:marLeft w:val="0"/>
                                                          <w:marRight w:val="0"/>
                                                          <w:marTop w:val="0"/>
                                                          <w:marBottom w:val="0"/>
                                                          <w:divBdr>
                                                            <w:top w:val="none" w:sz="0" w:space="0" w:color="auto"/>
                                                            <w:left w:val="none" w:sz="0" w:space="0" w:color="auto"/>
                                                            <w:bottom w:val="none" w:sz="0" w:space="0" w:color="auto"/>
                                                            <w:right w:val="none" w:sz="0" w:space="0" w:color="auto"/>
                                                          </w:divBdr>
                                                          <w:divsChild>
                                                            <w:div w:id="1458841855">
                                                              <w:marLeft w:val="0"/>
                                                              <w:marRight w:val="0"/>
                                                              <w:marTop w:val="0"/>
                                                              <w:marBottom w:val="0"/>
                                                              <w:divBdr>
                                                                <w:top w:val="none" w:sz="0" w:space="0" w:color="auto"/>
                                                                <w:left w:val="none" w:sz="0" w:space="0" w:color="auto"/>
                                                                <w:bottom w:val="none" w:sz="0" w:space="0" w:color="auto"/>
                                                                <w:right w:val="none" w:sz="0" w:space="0" w:color="auto"/>
                                                              </w:divBdr>
                                                              <w:divsChild>
                                                                <w:div w:id="1918202910">
                                                                  <w:marLeft w:val="0"/>
                                                                  <w:marRight w:val="0"/>
                                                                  <w:marTop w:val="0"/>
                                                                  <w:marBottom w:val="0"/>
                                                                  <w:divBdr>
                                                                    <w:top w:val="none" w:sz="0" w:space="0" w:color="auto"/>
                                                                    <w:left w:val="none" w:sz="0" w:space="0" w:color="auto"/>
                                                                    <w:bottom w:val="none" w:sz="0" w:space="0" w:color="auto"/>
                                                                    <w:right w:val="none" w:sz="0" w:space="0" w:color="auto"/>
                                                                  </w:divBdr>
                                                                  <w:divsChild>
                                                                    <w:div w:id="421990417">
                                                                      <w:marLeft w:val="0"/>
                                                                      <w:marRight w:val="0"/>
                                                                      <w:marTop w:val="0"/>
                                                                      <w:marBottom w:val="0"/>
                                                                      <w:divBdr>
                                                                        <w:top w:val="none" w:sz="0" w:space="0" w:color="auto"/>
                                                                        <w:left w:val="none" w:sz="0" w:space="0" w:color="auto"/>
                                                                        <w:bottom w:val="none" w:sz="0" w:space="0" w:color="auto"/>
                                                                        <w:right w:val="none" w:sz="0" w:space="0" w:color="auto"/>
                                                                      </w:divBdr>
                                                                      <w:divsChild>
                                                                        <w:div w:id="1213693210">
                                                                          <w:marLeft w:val="0"/>
                                                                          <w:marRight w:val="0"/>
                                                                          <w:marTop w:val="0"/>
                                                                          <w:marBottom w:val="0"/>
                                                                          <w:divBdr>
                                                                            <w:top w:val="none" w:sz="0" w:space="0" w:color="auto"/>
                                                                            <w:left w:val="none" w:sz="0" w:space="0" w:color="auto"/>
                                                                            <w:bottom w:val="none" w:sz="0" w:space="0" w:color="auto"/>
                                                                            <w:right w:val="none" w:sz="0" w:space="0" w:color="auto"/>
                                                                          </w:divBdr>
                                                                          <w:divsChild>
                                                                            <w:div w:id="1425154502">
                                                                              <w:marLeft w:val="0"/>
                                                                              <w:marRight w:val="0"/>
                                                                              <w:marTop w:val="0"/>
                                                                              <w:marBottom w:val="0"/>
                                                                              <w:divBdr>
                                                                                <w:top w:val="none" w:sz="0" w:space="0" w:color="auto"/>
                                                                                <w:left w:val="none" w:sz="0" w:space="0" w:color="auto"/>
                                                                                <w:bottom w:val="none" w:sz="0" w:space="0" w:color="auto"/>
                                                                                <w:right w:val="none" w:sz="0" w:space="0" w:color="auto"/>
                                                                              </w:divBdr>
                                                                              <w:divsChild>
                                                                                <w:div w:id="1016347914">
                                                                                  <w:marLeft w:val="0"/>
                                                                                  <w:marRight w:val="0"/>
                                                                                  <w:marTop w:val="0"/>
                                                                                  <w:marBottom w:val="0"/>
                                                                                  <w:divBdr>
                                                                                    <w:top w:val="none" w:sz="0" w:space="0" w:color="auto"/>
                                                                                    <w:left w:val="none" w:sz="0" w:space="0" w:color="auto"/>
                                                                                    <w:bottom w:val="none" w:sz="0" w:space="0" w:color="auto"/>
                                                                                    <w:right w:val="none" w:sz="0" w:space="0" w:color="auto"/>
                                                                                  </w:divBdr>
                                                                                  <w:divsChild>
                                                                                    <w:div w:id="1902403018">
                                                                                      <w:marLeft w:val="0"/>
                                                                                      <w:marRight w:val="0"/>
                                                                                      <w:marTop w:val="0"/>
                                                                                      <w:marBottom w:val="0"/>
                                                                                      <w:divBdr>
                                                                                        <w:top w:val="none" w:sz="0" w:space="0" w:color="auto"/>
                                                                                        <w:left w:val="none" w:sz="0" w:space="0" w:color="auto"/>
                                                                                        <w:bottom w:val="none" w:sz="0" w:space="0" w:color="auto"/>
                                                                                        <w:right w:val="none" w:sz="0" w:space="0" w:color="auto"/>
                                                                                      </w:divBdr>
                                                                                      <w:divsChild>
                                                                                        <w:div w:id="1550144928">
                                                                                          <w:marLeft w:val="0"/>
                                                                                          <w:marRight w:val="0"/>
                                                                                          <w:marTop w:val="0"/>
                                                                                          <w:marBottom w:val="0"/>
                                                                                          <w:divBdr>
                                                                                            <w:top w:val="none" w:sz="0" w:space="0" w:color="auto"/>
                                                                                            <w:left w:val="none" w:sz="0" w:space="0" w:color="auto"/>
                                                                                            <w:bottom w:val="none" w:sz="0" w:space="0" w:color="auto"/>
                                                                                            <w:right w:val="none" w:sz="0" w:space="0" w:color="auto"/>
                                                                                          </w:divBdr>
                                                                                          <w:divsChild>
                                                                                            <w:div w:id="1778745182">
                                                                                              <w:marLeft w:val="0"/>
                                                                                              <w:marRight w:val="120"/>
                                                                                              <w:marTop w:val="0"/>
                                                                                              <w:marBottom w:val="150"/>
                                                                                              <w:divBdr>
                                                                                                <w:top w:val="single" w:sz="2" w:space="0" w:color="EFEFEF"/>
                                                                                                <w:left w:val="single" w:sz="6" w:space="0" w:color="EFEFEF"/>
                                                                                                <w:bottom w:val="single" w:sz="6" w:space="0" w:color="E2E2E2"/>
                                                                                                <w:right w:val="single" w:sz="6" w:space="0" w:color="EFEFEF"/>
                                                                                              </w:divBdr>
                                                                                              <w:divsChild>
                                                                                                <w:div w:id="41945298">
                                                                                                  <w:marLeft w:val="0"/>
                                                                                                  <w:marRight w:val="0"/>
                                                                                                  <w:marTop w:val="0"/>
                                                                                                  <w:marBottom w:val="0"/>
                                                                                                  <w:divBdr>
                                                                                                    <w:top w:val="none" w:sz="0" w:space="0" w:color="auto"/>
                                                                                                    <w:left w:val="none" w:sz="0" w:space="0" w:color="auto"/>
                                                                                                    <w:bottom w:val="none" w:sz="0" w:space="0" w:color="auto"/>
                                                                                                    <w:right w:val="none" w:sz="0" w:space="0" w:color="auto"/>
                                                                                                  </w:divBdr>
                                                                                                  <w:divsChild>
                                                                                                    <w:div w:id="9458744">
                                                                                                      <w:marLeft w:val="0"/>
                                                                                                      <w:marRight w:val="0"/>
                                                                                                      <w:marTop w:val="0"/>
                                                                                                      <w:marBottom w:val="0"/>
                                                                                                      <w:divBdr>
                                                                                                        <w:top w:val="none" w:sz="0" w:space="0" w:color="auto"/>
                                                                                                        <w:left w:val="none" w:sz="0" w:space="0" w:color="auto"/>
                                                                                                        <w:bottom w:val="none" w:sz="0" w:space="0" w:color="auto"/>
                                                                                                        <w:right w:val="none" w:sz="0" w:space="0" w:color="auto"/>
                                                                                                      </w:divBdr>
                                                                                                      <w:divsChild>
                                                                                                        <w:div w:id="595022593">
                                                                                                          <w:marLeft w:val="0"/>
                                                                                                          <w:marRight w:val="0"/>
                                                                                                          <w:marTop w:val="0"/>
                                                                                                          <w:marBottom w:val="0"/>
                                                                                                          <w:divBdr>
                                                                                                            <w:top w:val="none" w:sz="0" w:space="0" w:color="auto"/>
                                                                                                            <w:left w:val="none" w:sz="0" w:space="0" w:color="auto"/>
                                                                                                            <w:bottom w:val="none" w:sz="0" w:space="0" w:color="auto"/>
                                                                                                            <w:right w:val="none" w:sz="0" w:space="0" w:color="auto"/>
                                                                                                          </w:divBdr>
                                                                                                          <w:divsChild>
                                                                                                            <w:div w:id="204025333">
                                                                                                              <w:marLeft w:val="0"/>
                                                                                                              <w:marRight w:val="0"/>
                                                                                                              <w:marTop w:val="0"/>
                                                                                                              <w:marBottom w:val="0"/>
                                                                                                              <w:divBdr>
                                                                                                                <w:top w:val="none" w:sz="0" w:space="0" w:color="auto"/>
                                                                                                                <w:left w:val="none" w:sz="0" w:space="0" w:color="auto"/>
                                                                                                                <w:bottom w:val="none" w:sz="0" w:space="0" w:color="auto"/>
                                                                                                                <w:right w:val="none" w:sz="0" w:space="0" w:color="auto"/>
                                                                                                              </w:divBdr>
                                                                                                              <w:divsChild>
                                                                                                                <w:div w:id="1543710526">
                                                                                                                  <w:marLeft w:val="0"/>
                                                                                                                  <w:marRight w:val="0"/>
                                                                                                                  <w:marTop w:val="0"/>
                                                                                                                  <w:marBottom w:val="0"/>
                                                                                                                  <w:divBdr>
                                                                                                                    <w:top w:val="single" w:sz="2" w:space="4" w:color="D8D8D8"/>
                                                                                                                    <w:left w:val="single" w:sz="2" w:space="0" w:color="D8D8D8"/>
                                                                                                                    <w:bottom w:val="single" w:sz="2" w:space="4" w:color="D8D8D8"/>
                                                                                                                    <w:right w:val="single" w:sz="2" w:space="0" w:color="D8D8D8"/>
                                                                                                                  </w:divBdr>
                                                                                                                  <w:divsChild>
                                                                                                                    <w:div w:id="1859153903">
                                                                                                                      <w:marLeft w:val="225"/>
                                                                                                                      <w:marRight w:val="225"/>
                                                                                                                      <w:marTop w:val="75"/>
                                                                                                                      <w:marBottom w:val="75"/>
                                                                                                                      <w:divBdr>
                                                                                                                        <w:top w:val="none" w:sz="0" w:space="0" w:color="auto"/>
                                                                                                                        <w:left w:val="none" w:sz="0" w:space="0" w:color="auto"/>
                                                                                                                        <w:bottom w:val="none" w:sz="0" w:space="0" w:color="auto"/>
                                                                                                                        <w:right w:val="none" w:sz="0" w:space="0" w:color="auto"/>
                                                                                                                      </w:divBdr>
                                                                                                                      <w:divsChild>
                                                                                                                        <w:div w:id="1265917621">
                                                                                                                          <w:marLeft w:val="0"/>
                                                                                                                          <w:marRight w:val="0"/>
                                                                                                                          <w:marTop w:val="0"/>
                                                                                                                          <w:marBottom w:val="0"/>
                                                                                                                          <w:divBdr>
                                                                                                                            <w:top w:val="single" w:sz="6" w:space="0" w:color="auto"/>
                                                                                                                            <w:left w:val="single" w:sz="6" w:space="0" w:color="auto"/>
                                                                                                                            <w:bottom w:val="single" w:sz="6" w:space="0" w:color="auto"/>
                                                                                                                            <w:right w:val="single" w:sz="6" w:space="0" w:color="auto"/>
                                                                                                                          </w:divBdr>
                                                                                                                          <w:divsChild>
                                                                                                                            <w:div w:id="1456172795">
                                                                                                                              <w:marLeft w:val="0"/>
                                                                                                                              <w:marRight w:val="0"/>
                                                                                                                              <w:marTop w:val="0"/>
                                                                                                                              <w:marBottom w:val="0"/>
                                                                                                                              <w:divBdr>
                                                                                                                                <w:top w:val="none" w:sz="0" w:space="0" w:color="auto"/>
                                                                                                                                <w:left w:val="none" w:sz="0" w:space="0" w:color="auto"/>
                                                                                                                                <w:bottom w:val="none" w:sz="0" w:space="0" w:color="auto"/>
                                                                                                                                <w:right w:val="none" w:sz="0" w:space="0" w:color="auto"/>
                                                                                                                              </w:divBdr>
                                                                                                                              <w:divsChild>
                                                                                                                                <w:div w:id="1956983453">
                                                                                                                                  <w:marLeft w:val="0"/>
                                                                                                                                  <w:marRight w:val="0"/>
                                                                                                                                  <w:marTop w:val="0"/>
                                                                                                                                  <w:marBottom w:val="0"/>
                                                                                                                                  <w:divBdr>
                                                                                                                                    <w:top w:val="none" w:sz="0" w:space="0" w:color="auto"/>
                                                                                                                                    <w:left w:val="none" w:sz="0" w:space="0" w:color="auto"/>
                                                                                                                                    <w:bottom w:val="none" w:sz="0" w:space="0" w:color="auto"/>
                                                                                                                                    <w:right w:val="none" w:sz="0" w:space="0" w:color="auto"/>
                                                                                                                                  </w:divBdr>
                                                                                                                                  <w:divsChild>
                                                                                                                                    <w:div w:id="36710310">
                                                                                                                                      <w:marLeft w:val="0"/>
                                                                                                                                      <w:marRight w:val="0"/>
                                                                                                                                      <w:marTop w:val="0"/>
                                                                                                                                      <w:marBottom w:val="0"/>
                                                                                                                                      <w:divBdr>
                                                                                                                                        <w:top w:val="none" w:sz="0" w:space="0" w:color="auto"/>
                                                                                                                                        <w:left w:val="none" w:sz="0" w:space="0" w:color="auto"/>
                                                                                                                                        <w:bottom w:val="none" w:sz="0" w:space="0" w:color="auto"/>
                                                                                                                                        <w:right w:val="none" w:sz="0" w:space="0" w:color="auto"/>
                                                                                                                                      </w:divBdr>
                                                                                                                                    </w:div>
                                                                                                                                    <w:div w:id="140511809">
                                                                                                                                      <w:marLeft w:val="0"/>
                                                                                                                                      <w:marRight w:val="0"/>
                                                                                                                                      <w:marTop w:val="0"/>
                                                                                                                                      <w:marBottom w:val="0"/>
                                                                                                                                      <w:divBdr>
                                                                                                                                        <w:top w:val="none" w:sz="0" w:space="0" w:color="auto"/>
                                                                                                                                        <w:left w:val="none" w:sz="0" w:space="0" w:color="auto"/>
                                                                                                                                        <w:bottom w:val="none" w:sz="0" w:space="0" w:color="auto"/>
                                                                                                                                        <w:right w:val="none" w:sz="0" w:space="0" w:color="auto"/>
                                                                                                                                      </w:divBdr>
                                                                                                                                      <w:divsChild>
                                                                                                                                        <w:div w:id="487135468">
                                                                                                                                          <w:marLeft w:val="0"/>
                                                                                                                                          <w:marRight w:val="0"/>
                                                                                                                                          <w:marTop w:val="0"/>
                                                                                                                                          <w:marBottom w:val="0"/>
                                                                                                                                          <w:divBdr>
                                                                                                                                            <w:top w:val="none" w:sz="0" w:space="0" w:color="auto"/>
                                                                                                                                            <w:left w:val="none" w:sz="0" w:space="0" w:color="auto"/>
                                                                                                                                            <w:bottom w:val="none" w:sz="0" w:space="0" w:color="auto"/>
                                                                                                                                            <w:right w:val="none" w:sz="0" w:space="0" w:color="auto"/>
                                                                                                                                          </w:divBdr>
                                                                                                                                        </w:div>
                                                                                                                                      </w:divsChild>
                                                                                                                                    </w:div>
                                                                                                                                    <w:div w:id="313146757">
                                                                                                                                      <w:marLeft w:val="0"/>
                                                                                                                                      <w:marRight w:val="0"/>
                                                                                                                                      <w:marTop w:val="0"/>
                                                                                                                                      <w:marBottom w:val="0"/>
                                                                                                                                      <w:divBdr>
                                                                                                                                        <w:top w:val="none" w:sz="0" w:space="0" w:color="auto"/>
                                                                                                                                        <w:left w:val="none" w:sz="0" w:space="0" w:color="auto"/>
                                                                                                                                        <w:bottom w:val="none" w:sz="0" w:space="0" w:color="auto"/>
                                                                                                                                        <w:right w:val="none" w:sz="0" w:space="0" w:color="auto"/>
                                                                                                                                      </w:divBdr>
                                                                                                                                    </w:div>
                                                                                                                                    <w:div w:id="358705967">
                                                                                                                                      <w:marLeft w:val="0"/>
                                                                                                                                      <w:marRight w:val="0"/>
                                                                                                                                      <w:marTop w:val="0"/>
                                                                                                                                      <w:marBottom w:val="0"/>
                                                                                                                                      <w:divBdr>
                                                                                                                                        <w:top w:val="none" w:sz="0" w:space="0" w:color="auto"/>
                                                                                                                                        <w:left w:val="none" w:sz="0" w:space="0" w:color="auto"/>
                                                                                                                                        <w:bottom w:val="none" w:sz="0" w:space="0" w:color="auto"/>
                                                                                                                                        <w:right w:val="none" w:sz="0" w:space="0" w:color="auto"/>
                                                                                                                                      </w:divBdr>
                                                                                                                                    </w:div>
                                                                                                                                    <w:div w:id="447239063">
                                                                                                                                      <w:marLeft w:val="0"/>
                                                                                                                                      <w:marRight w:val="0"/>
                                                                                                                                      <w:marTop w:val="0"/>
                                                                                                                                      <w:marBottom w:val="0"/>
                                                                                                                                      <w:divBdr>
                                                                                                                                        <w:top w:val="none" w:sz="0" w:space="0" w:color="auto"/>
                                                                                                                                        <w:left w:val="none" w:sz="0" w:space="0" w:color="auto"/>
                                                                                                                                        <w:bottom w:val="none" w:sz="0" w:space="0" w:color="auto"/>
                                                                                                                                        <w:right w:val="none" w:sz="0" w:space="0" w:color="auto"/>
                                                                                                                                      </w:divBdr>
                                                                                                                                    </w:div>
                                                                                                                                    <w:div w:id="636955992">
                                                                                                                                      <w:marLeft w:val="0"/>
                                                                                                                                      <w:marRight w:val="0"/>
                                                                                                                                      <w:marTop w:val="0"/>
                                                                                                                                      <w:marBottom w:val="0"/>
                                                                                                                                      <w:divBdr>
                                                                                                                                        <w:top w:val="none" w:sz="0" w:space="0" w:color="auto"/>
                                                                                                                                        <w:left w:val="none" w:sz="0" w:space="0" w:color="auto"/>
                                                                                                                                        <w:bottom w:val="none" w:sz="0" w:space="0" w:color="auto"/>
                                                                                                                                        <w:right w:val="none" w:sz="0" w:space="0" w:color="auto"/>
                                                                                                                                      </w:divBdr>
                                                                                                                                    </w:div>
                                                                                                                                    <w:div w:id="1511212820">
                                                                                                                                      <w:marLeft w:val="0"/>
                                                                                                                                      <w:marRight w:val="0"/>
                                                                                                                                      <w:marTop w:val="0"/>
                                                                                                                                      <w:marBottom w:val="0"/>
                                                                                                                                      <w:divBdr>
                                                                                                                                        <w:top w:val="none" w:sz="0" w:space="0" w:color="auto"/>
                                                                                                                                        <w:left w:val="none" w:sz="0" w:space="0" w:color="auto"/>
                                                                                                                                        <w:bottom w:val="none" w:sz="0" w:space="0" w:color="auto"/>
                                                                                                                                        <w:right w:val="none" w:sz="0" w:space="0" w:color="auto"/>
                                                                                                                                      </w:divBdr>
                                                                                                                                    </w:div>
                                                                                                                                    <w:div w:id="1682513888">
                                                                                                                                      <w:marLeft w:val="0"/>
                                                                                                                                      <w:marRight w:val="0"/>
                                                                                                                                      <w:marTop w:val="0"/>
                                                                                                                                      <w:marBottom w:val="0"/>
                                                                                                                                      <w:divBdr>
                                                                                                                                        <w:top w:val="none" w:sz="0" w:space="0" w:color="auto"/>
                                                                                                                                        <w:left w:val="none" w:sz="0" w:space="0" w:color="auto"/>
                                                                                                                                        <w:bottom w:val="none" w:sz="0" w:space="0" w:color="auto"/>
                                                                                                                                        <w:right w:val="none" w:sz="0" w:space="0" w:color="auto"/>
                                                                                                                                      </w:divBdr>
                                                                                                                                    </w:div>
                                                                                                                                    <w:div w:id="1732849007">
                                                                                                                                      <w:marLeft w:val="0"/>
                                                                                                                                      <w:marRight w:val="0"/>
                                                                                                                                      <w:marTop w:val="0"/>
                                                                                                                                      <w:marBottom w:val="0"/>
                                                                                                                                      <w:divBdr>
                                                                                                                                        <w:top w:val="none" w:sz="0" w:space="0" w:color="auto"/>
                                                                                                                                        <w:left w:val="none" w:sz="0" w:space="0" w:color="auto"/>
                                                                                                                                        <w:bottom w:val="none" w:sz="0" w:space="0" w:color="auto"/>
                                                                                                                                        <w:right w:val="none" w:sz="0" w:space="0" w:color="auto"/>
                                                                                                                                      </w:divBdr>
                                                                                                                                    </w:div>
                                                                                                                                    <w:div w:id="18046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506488">
      <w:bodyDiv w:val="1"/>
      <w:marLeft w:val="0"/>
      <w:marRight w:val="0"/>
      <w:marTop w:val="0"/>
      <w:marBottom w:val="0"/>
      <w:divBdr>
        <w:top w:val="none" w:sz="0" w:space="0" w:color="auto"/>
        <w:left w:val="none" w:sz="0" w:space="0" w:color="auto"/>
        <w:bottom w:val="none" w:sz="0" w:space="0" w:color="auto"/>
        <w:right w:val="none" w:sz="0" w:space="0" w:color="auto"/>
      </w:divBdr>
    </w:div>
    <w:div w:id="895749221">
      <w:bodyDiv w:val="1"/>
      <w:marLeft w:val="0"/>
      <w:marRight w:val="0"/>
      <w:marTop w:val="0"/>
      <w:marBottom w:val="0"/>
      <w:divBdr>
        <w:top w:val="none" w:sz="0" w:space="0" w:color="auto"/>
        <w:left w:val="none" w:sz="0" w:space="0" w:color="auto"/>
        <w:bottom w:val="none" w:sz="0" w:space="0" w:color="auto"/>
        <w:right w:val="none" w:sz="0" w:space="0" w:color="auto"/>
      </w:divBdr>
    </w:div>
    <w:div w:id="907954522">
      <w:bodyDiv w:val="1"/>
      <w:marLeft w:val="0"/>
      <w:marRight w:val="0"/>
      <w:marTop w:val="0"/>
      <w:marBottom w:val="0"/>
      <w:divBdr>
        <w:top w:val="none" w:sz="0" w:space="0" w:color="auto"/>
        <w:left w:val="none" w:sz="0" w:space="0" w:color="auto"/>
        <w:bottom w:val="none" w:sz="0" w:space="0" w:color="auto"/>
        <w:right w:val="none" w:sz="0" w:space="0" w:color="auto"/>
      </w:divBdr>
      <w:divsChild>
        <w:div w:id="1484662751">
          <w:marLeft w:val="0"/>
          <w:marRight w:val="0"/>
          <w:marTop w:val="0"/>
          <w:marBottom w:val="150"/>
          <w:divBdr>
            <w:top w:val="none" w:sz="0" w:space="0" w:color="auto"/>
            <w:left w:val="none" w:sz="0" w:space="0" w:color="auto"/>
            <w:bottom w:val="none" w:sz="0" w:space="0" w:color="auto"/>
            <w:right w:val="none" w:sz="0" w:space="0" w:color="auto"/>
          </w:divBdr>
        </w:div>
        <w:div w:id="1824004423">
          <w:marLeft w:val="0"/>
          <w:marRight w:val="0"/>
          <w:marTop w:val="0"/>
          <w:marBottom w:val="0"/>
          <w:divBdr>
            <w:top w:val="none" w:sz="0" w:space="0" w:color="auto"/>
            <w:left w:val="none" w:sz="0" w:space="0" w:color="auto"/>
            <w:bottom w:val="none" w:sz="0" w:space="0" w:color="auto"/>
            <w:right w:val="none" w:sz="0" w:space="0" w:color="auto"/>
          </w:divBdr>
        </w:div>
      </w:divsChild>
    </w:div>
    <w:div w:id="1005786230">
      <w:bodyDiv w:val="1"/>
      <w:marLeft w:val="0"/>
      <w:marRight w:val="0"/>
      <w:marTop w:val="0"/>
      <w:marBottom w:val="0"/>
      <w:divBdr>
        <w:top w:val="none" w:sz="0" w:space="0" w:color="auto"/>
        <w:left w:val="none" w:sz="0" w:space="0" w:color="auto"/>
        <w:bottom w:val="none" w:sz="0" w:space="0" w:color="auto"/>
        <w:right w:val="none" w:sz="0" w:space="0" w:color="auto"/>
      </w:divBdr>
      <w:divsChild>
        <w:div w:id="38945788">
          <w:marLeft w:val="0"/>
          <w:marRight w:val="0"/>
          <w:marTop w:val="0"/>
          <w:marBottom w:val="0"/>
          <w:divBdr>
            <w:top w:val="none" w:sz="0" w:space="0" w:color="auto"/>
            <w:left w:val="none" w:sz="0" w:space="0" w:color="auto"/>
            <w:bottom w:val="none" w:sz="0" w:space="0" w:color="auto"/>
            <w:right w:val="none" w:sz="0" w:space="0" w:color="auto"/>
          </w:divBdr>
          <w:divsChild>
            <w:div w:id="175266042">
              <w:marLeft w:val="0"/>
              <w:marRight w:val="0"/>
              <w:marTop w:val="0"/>
              <w:marBottom w:val="0"/>
              <w:divBdr>
                <w:top w:val="none" w:sz="0" w:space="0" w:color="auto"/>
                <w:left w:val="none" w:sz="0" w:space="0" w:color="auto"/>
                <w:bottom w:val="none" w:sz="0" w:space="0" w:color="auto"/>
                <w:right w:val="none" w:sz="0" w:space="0" w:color="auto"/>
              </w:divBdr>
              <w:divsChild>
                <w:div w:id="583416603">
                  <w:marLeft w:val="0"/>
                  <w:marRight w:val="0"/>
                  <w:marTop w:val="0"/>
                  <w:marBottom w:val="0"/>
                  <w:divBdr>
                    <w:top w:val="none" w:sz="0" w:space="0" w:color="auto"/>
                    <w:left w:val="none" w:sz="0" w:space="0" w:color="auto"/>
                    <w:bottom w:val="none" w:sz="0" w:space="0" w:color="auto"/>
                    <w:right w:val="none" w:sz="0" w:space="0" w:color="auto"/>
                  </w:divBdr>
                  <w:divsChild>
                    <w:div w:id="290868350">
                      <w:marLeft w:val="0"/>
                      <w:marRight w:val="0"/>
                      <w:marTop w:val="0"/>
                      <w:marBottom w:val="0"/>
                      <w:divBdr>
                        <w:top w:val="none" w:sz="0" w:space="0" w:color="auto"/>
                        <w:left w:val="none" w:sz="0" w:space="0" w:color="auto"/>
                        <w:bottom w:val="none" w:sz="0" w:space="0" w:color="auto"/>
                        <w:right w:val="none" w:sz="0" w:space="0" w:color="auto"/>
                      </w:divBdr>
                      <w:divsChild>
                        <w:div w:id="457265728">
                          <w:marLeft w:val="0"/>
                          <w:marRight w:val="0"/>
                          <w:marTop w:val="0"/>
                          <w:marBottom w:val="0"/>
                          <w:divBdr>
                            <w:top w:val="none" w:sz="0" w:space="0" w:color="auto"/>
                            <w:left w:val="none" w:sz="0" w:space="0" w:color="auto"/>
                            <w:bottom w:val="none" w:sz="0" w:space="0" w:color="auto"/>
                            <w:right w:val="none" w:sz="0" w:space="0" w:color="auto"/>
                          </w:divBdr>
                          <w:divsChild>
                            <w:div w:id="2191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0795">
      <w:bodyDiv w:val="1"/>
      <w:marLeft w:val="0"/>
      <w:marRight w:val="0"/>
      <w:marTop w:val="0"/>
      <w:marBottom w:val="0"/>
      <w:divBdr>
        <w:top w:val="none" w:sz="0" w:space="0" w:color="auto"/>
        <w:left w:val="none" w:sz="0" w:space="0" w:color="auto"/>
        <w:bottom w:val="none" w:sz="0" w:space="0" w:color="auto"/>
        <w:right w:val="none" w:sz="0" w:space="0" w:color="auto"/>
      </w:divBdr>
    </w:div>
    <w:div w:id="1052774397">
      <w:bodyDiv w:val="1"/>
      <w:marLeft w:val="0"/>
      <w:marRight w:val="0"/>
      <w:marTop w:val="0"/>
      <w:marBottom w:val="0"/>
      <w:divBdr>
        <w:top w:val="none" w:sz="0" w:space="0" w:color="auto"/>
        <w:left w:val="none" w:sz="0" w:space="0" w:color="auto"/>
        <w:bottom w:val="none" w:sz="0" w:space="0" w:color="auto"/>
        <w:right w:val="none" w:sz="0" w:space="0" w:color="auto"/>
      </w:divBdr>
    </w:div>
    <w:div w:id="1077945684">
      <w:bodyDiv w:val="1"/>
      <w:marLeft w:val="0"/>
      <w:marRight w:val="0"/>
      <w:marTop w:val="0"/>
      <w:marBottom w:val="0"/>
      <w:divBdr>
        <w:top w:val="none" w:sz="0" w:space="0" w:color="auto"/>
        <w:left w:val="none" w:sz="0" w:space="0" w:color="auto"/>
        <w:bottom w:val="none" w:sz="0" w:space="0" w:color="auto"/>
        <w:right w:val="none" w:sz="0" w:space="0" w:color="auto"/>
      </w:divBdr>
    </w:div>
    <w:div w:id="1116294364">
      <w:bodyDiv w:val="1"/>
      <w:marLeft w:val="0"/>
      <w:marRight w:val="0"/>
      <w:marTop w:val="0"/>
      <w:marBottom w:val="0"/>
      <w:divBdr>
        <w:top w:val="none" w:sz="0" w:space="0" w:color="auto"/>
        <w:left w:val="none" w:sz="0" w:space="0" w:color="auto"/>
        <w:bottom w:val="none" w:sz="0" w:space="0" w:color="auto"/>
        <w:right w:val="none" w:sz="0" w:space="0" w:color="auto"/>
      </w:divBdr>
      <w:divsChild>
        <w:div w:id="1709527691">
          <w:marLeft w:val="0"/>
          <w:marRight w:val="0"/>
          <w:marTop w:val="0"/>
          <w:marBottom w:val="0"/>
          <w:divBdr>
            <w:top w:val="none" w:sz="0" w:space="0" w:color="auto"/>
            <w:left w:val="none" w:sz="0" w:space="0" w:color="auto"/>
            <w:bottom w:val="none" w:sz="0" w:space="0" w:color="auto"/>
            <w:right w:val="none" w:sz="0" w:space="0" w:color="auto"/>
          </w:divBdr>
          <w:divsChild>
            <w:div w:id="439419993">
              <w:marLeft w:val="0"/>
              <w:marRight w:val="0"/>
              <w:marTop w:val="0"/>
              <w:marBottom w:val="0"/>
              <w:divBdr>
                <w:top w:val="none" w:sz="0" w:space="0" w:color="auto"/>
                <w:left w:val="none" w:sz="0" w:space="0" w:color="auto"/>
                <w:bottom w:val="none" w:sz="0" w:space="0" w:color="auto"/>
                <w:right w:val="none" w:sz="0" w:space="0" w:color="auto"/>
              </w:divBdr>
              <w:divsChild>
                <w:div w:id="284388767">
                  <w:marLeft w:val="0"/>
                  <w:marRight w:val="0"/>
                  <w:marTop w:val="0"/>
                  <w:marBottom w:val="0"/>
                  <w:divBdr>
                    <w:top w:val="none" w:sz="0" w:space="0" w:color="auto"/>
                    <w:left w:val="none" w:sz="0" w:space="0" w:color="auto"/>
                    <w:bottom w:val="none" w:sz="0" w:space="0" w:color="auto"/>
                    <w:right w:val="none" w:sz="0" w:space="0" w:color="auto"/>
                  </w:divBdr>
                  <w:divsChild>
                    <w:div w:id="757756493">
                      <w:marLeft w:val="0"/>
                      <w:marRight w:val="0"/>
                      <w:marTop w:val="0"/>
                      <w:marBottom w:val="0"/>
                      <w:divBdr>
                        <w:top w:val="none" w:sz="0" w:space="0" w:color="auto"/>
                        <w:left w:val="none" w:sz="0" w:space="0" w:color="auto"/>
                        <w:bottom w:val="none" w:sz="0" w:space="0" w:color="auto"/>
                        <w:right w:val="none" w:sz="0" w:space="0" w:color="auto"/>
                      </w:divBdr>
                      <w:divsChild>
                        <w:div w:id="669525693">
                          <w:marLeft w:val="0"/>
                          <w:marRight w:val="0"/>
                          <w:marTop w:val="0"/>
                          <w:marBottom w:val="0"/>
                          <w:divBdr>
                            <w:top w:val="none" w:sz="0" w:space="0" w:color="auto"/>
                            <w:left w:val="none" w:sz="0" w:space="0" w:color="auto"/>
                            <w:bottom w:val="none" w:sz="0" w:space="0" w:color="auto"/>
                            <w:right w:val="none" w:sz="0" w:space="0" w:color="auto"/>
                          </w:divBdr>
                        </w:div>
                        <w:div w:id="954674941">
                          <w:marLeft w:val="0"/>
                          <w:marRight w:val="0"/>
                          <w:marTop w:val="0"/>
                          <w:marBottom w:val="0"/>
                          <w:divBdr>
                            <w:top w:val="none" w:sz="0" w:space="0" w:color="auto"/>
                            <w:left w:val="none" w:sz="0" w:space="0" w:color="auto"/>
                            <w:bottom w:val="none" w:sz="0" w:space="0" w:color="auto"/>
                            <w:right w:val="none" w:sz="0" w:space="0" w:color="auto"/>
                          </w:divBdr>
                          <w:divsChild>
                            <w:div w:id="1064330042">
                              <w:marLeft w:val="0"/>
                              <w:marRight w:val="0"/>
                              <w:marTop w:val="0"/>
                              <w:marBottom w:val="0"/>
                              <w:divBdr>
                                <w:top w:val="none" w:sz="0" w:space="0" w:color="auto"/>
                                <w:left w:val="none" w:sz="0" w:space="0" w:color="auto"/>
                                <w:bottom w:val="none" w:sz="0" w:space="0" w:color="auto"/>
                                <w:right w:val="none" w:sz="0" w:space="0" w:color="auto"/>
                              </w:divBdr>
                              <w:divsChild>
                                <w:div w:id="999624226">
                                  <w:marLeft w:val="0"/>
                                  <w:marRight w:val="0"/>
                                  <w:marTop w:val="0"/>
                                  <w:marBottom w:val="0"/>
                                  <w:divBdr>
                                    <w:top w:val="none" w:sz="0" w:space="0" w:color="auto"/>
                                    <w:left w:val="none" w:sz="0" w:space="0" w:color="auto"/>
                                    <w:bottom w:val="none" w:sz="0" w:space="0" w:color="auto"/>
                                    <w:right w:val="none" w:sz="0" w:space="0" w:color="auto"/>
                                  </w:divBdr>
                                </w:div>
                              </w:divsChild>
                            </w:div>
                            <w:div w:id="11069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99926">
      <w:bodyDiv w:val="1"/>
      <w:marLeft w:val="0"/>
      <w:marRight w:val="0"/>
      <w:marTop w:val="0"/>
      <w:marBottom w:val="0"/>
      <w:divBdr>
        <w:top w:val="none" w:sz="0" w:space="0" w:color="auto"/>
        <w:left w:val="none" w:sz="0" w:space="0" w:color="auto"/>
        <w:bottom w:val="none" w:sz="0" w:space="0" w:color="auto"/>
        <w:right w:val="none" w:sz="0" w:space="0" w:color="auto"/>
      </w:divBdr>
    </w:div>
    <w:div w:id="1220749806">
      <w:bodyDiv w:val="1"/>
      <w:marLeft w:val="0"/>
      <w:marRight w:val="0"/>
      <w:marTop w:val="0"/>
      <w:marBottom w:val="0"/>
      <w:divBdr>
        <w:top w:val="none" w:sz="0" w:space="0" w:color="auto"/>
        <w:left w:val="none" w:sz="0" w:space="0" w:color="auto"/>
        <w:bottom w:val="none" w:sz="0" w:space="0" w:color="auto"/>
        <w:right w:val="none" w:sz="0" w:space="0" w:color="auto"/>
      </w:divBdr>
    </w:div>
    <w:div w:id="1234974308">
      <w:bodyDiv w:val="1"/>
      <w:marLeft w:val="0"/>
      <w:marRight w:val="0"/>
      <w:marTop w:val="0"/>
      <w:marBottom w:val="0"/>
      <w:divBdr>
        <w:top w:val="none" w:sz="0" w:space="0" w:color="auto"/>
        <w:left w:val="none" w:sz="0" w:space="0" w:color="auto"/>
        <w:bottom w:val="none" w:sz="0" w:space="0" w:color="auto"/>
        <w:right w:val="none" w:sz="0" w:space="0" w:color="auto"/>
      </w:divBdr>
    </w:div>
    <w:div w:id="1235555097">
      <w:bodyDiv w:val="1"/>
      <w:marLeft w:val="0"/>
      <w:marRight w:val="0"/>
      <w:marTop w:val="0"/>
      <w:marBottom w:val="0"/>
      <w:divBdr>
        <w:top w:val="none" w:sz="0" w:space="0" w:color="auto"/>
        <w:left w:val="none" w:sz="0" w:space="0" w:color="auto"/>
        <w:bottom w:val="none" w:sz="0" w:space="0" w:color="auto"/>
        <w:right w:val="none" w:sz="0" w:space="0" w:color="auto"/>
      </w:divBdr>
    </w:div>
    <w:div w:id="1241984212">
      <w:bodyDiv w:val="1"/>
      <w:marLeft w:val="0"/>
      <w:marRight w:val="0"/>
      <w:marTop w:val="0"/>
      <w:marBottom w:val="0"/>
      <w:divBdr>
        <w:top w:val="none" w:sz="0" w:space="0" w:color="auto"/>
        <w:left w:val="none" w:sz="0" w:space="0" w:color="auto"/>
        <w:bottom w:val="none" w:sz="0" w:space="0" w:color="auto"/>
        <w:right w:val="none" w:sz="0" w:space="0" w:color="auto"/>
      </w:divBdr>
    </w:div>
    <w:div w:id="1261454113">
      <w:bodyDiv w:val="1"/>
      <w:marLeft w:val="0"/>
      <w:marRight w:val="0"/>
      <w:marTop w:val="0"/>
      <w:marBottom w:val="0"/>
      <w:divBdr>
        <w:top w:val="none" w:sz="0" w:space="0" w:color="auto"/>
        <w:left w:val="none" w:sz="0" w:space="0" w:color="auto"/>
        <w:bottom w:val="none" w:sz="0" w:space="0" w:color="auto"/>
        <w:right w:val="none" w:sz="0" w:space="0" w:color="auto"/>
      </w:divBdr>
    </w:div>
    <w:div w:id="1306164069">
      <w:bodyDiv w:val="1"/>
      <w:marLeft w:val="0"/>
      <w:marRight w:val="0"/>
      <w:marTop w:val="0"/>
      <w:marBottom w:val="0"/>
      <w:divBdr>
        <w:top w:val="none" w:sz="0" w:space="0" w:color="auto"/>
        <w:left w:val="none" w:sz="0" w:space="0" w:color="auto"/>
        <w:bottom w:val="none" w:sz="0" w:space="0" w:color="auto"/>
        <w:right w:val="none" w:sz="0" w:space="0" w:color="auto"/>
      </w:divBdr>
    </w:div>
    <w:div w:id="1367875283">
      <w:bodyDiv w:val="1"/>
      <w:marLeft w:val="0"/>
      <w:marRight w:val="0"/>
      <w:marTop w:val="0"/>
      <w:marBottom w:val="0"/>
      <w:divBdr>
        <w:top w:val="none" w:sz="0" w:space="0" w:color="auto"/>
        <w:left w:val="none" w:sz="0" w:space="0" w:color="auto"/>
        <w:bottom w:val="none" w:sz="0" w:space="0" w:color="auto"/>
        <w:right w:val="none" w:sz="0" w:space="0" w:color="auto"/>
      </w:divBdr>
    </w:div>
    <w:div w:id="1368600147">
      <w:bodyDiv w:val="1"/>
      <w:marLeft w:val="0"/>
      <w:marRight w:val="0"/>
      <w:marTop w:val="0"/>
      <w:marBottom w:val="0"/>
      <w:divBdr>
        <w:top w:val="none" w:sz="0" w:space="0" w:color="auto"/>
        <w:left w:val="none" w:sz="0" w:space="0" w:color="auto"/>
        <w:bottom w:val="none" w:sz="0" w:space="0" w:color="auto"/>
        <w:right w:val="none" w:sz="0" w:space="0" w:color="auto"/>
      </w:divBdr>
    </w:div>
    <w:div w:id="1410955353">
      <w:bodyDiv w:val="1"/>
      <w:marLeft w:val="0"/>
      <w:marRight w:val="0"/>
      <w:marTop w:val="0"/>
      <w:marBottom w:val="0"/>
      <w:divBdr>
        <w:top w:val="none" w:sz="0" w:space="0" w:color="auto"/>
        <w:left w:val="none" w:sz="0" w:space="0" w:color="auto"/>
        <w:bottom w:val="none" w:sz="0" w:space="0" w:color="auto"/>
        <w:right w:val="none" w:sz="0" w:space="0" w:color="auto"/>
      </w:divBdr>
    </w:div>
    <w:div w:id="1422069294">
      <w:bodyDiv w:val="1"/>
      <w:marLeft w:val="0"/>
      <w:marRight w:val="0"/>
      <w:marTop w:val="0"/>
      <w:marBottom w:val="0"/>
      <w:divBdr>
        <w:top w:val="none" w:sz="0" w:space="0" w:color="auto"/>
        <w:left w:val="none" w:sz="0" w:space="0" w:color="auto"/>
        <w:bottom w:val="none" w:sz="0" w:space="0" w:color="auto"/>
        <w:right w:val="none" w:sz="0" w:space="0" w:color="auto"/>
      </w:divBdr>
    </w:div>
    <w:div w:id="1434087658">
      <w:bodyDiv w:val="1"/>
      <w:marLeft w:val="0"/>
      <w:marRight w:val="0"/>
      <w:marTop w:val="0"/>
      <w:marBottom w:val="0"/>
      <w:divBdr>
        <w:top w:val="none" w:sz="0" w:space="0" w:color="auto"/>
        <w:left w:val="none" w:sz="0" w:space="0" w:color="auto"/>
        <w:bottom w:val="none" w:sz="0" w:space="0" w:color="auto"/>
        <w:right w:val="none" w:sz="0" w:space="0" w:color="auto"/>
      </w:divBdr>
    </w:div>
    <w:div w:id="1448891763">
      <w:bodyDiv w:val="1"/>
      <w:marLeft w:val="0"/>
      <w:marRight w:val="0"/>
      <w:marTop w:val="0"/>
      <w:marBottom w:val="0"/>
      <w:divBdr>
        <w:top w:val="none" w:sz="0" w:space="0" w:color="auto"/>
        <w:left w:val="none" w:sz="0" w:space="0" w:color="auto"/>
        <w:bottom w:val="none" w:sz="0" w:space="0" w:color="auto"/>
        <w:right w:val="none" w:sz="0" w:space="0" w:color="auto"/>
      </w:divBdr>
    </w:div>
    <w:div w:id="1465469541">
      <w:bodyDiv w:val="1"/>
      <w:marLeft w:val="0"/>
      <w:marRight w:val="0"/>
      <w:marTop w:val="0"/>
      <w:marBottom w:val="0"/>
      <w:divBdr>
        <w:top w:val="none" w:sz="0" w:space="0" w:color="auto"/>
        <w:left w:val="none" w:sz="0" w:space="0" w:color="auto"/>
        <w:bottom w:val="none" w:sz="0" w:space="0" w:color="auto"/>
        <w:right w:val="none" w:sz="0" w:space="0" w:color="auto"/>
      </w:divBdr>
      <w:divsChild>
        <w:div w:id="227082569">
          <w:marLeft w:val="0"/>
          <w:marRight w:val="0"/>
          <w:marTop w:val="0"/>
          <w:marBottom w:val="0"/>
          <w:divBdr>
            <w:top w:val="none" w:sz="0" w:space="0" w:color="auto"/>
            <w:left w:val="none" w:sz="0" w:space="0" w:color="auto"/>
            <w:bottom w:val="none" w:sz="0" w:space="0" w:color="auto"/>
            <w:right w:val="none" w:sz="0" w:space="0" w:color="auto"/>
          </w:divBdr>
          <w:divsChild>
            <w:div w:id="1064258876">
              <w:marLeft w:val="0"/>
              <w:marRight w:val="0"/>
              <w:marTop w:val="0"/>
              <w:marBottom w:val="0"/>
              <w:divBdr>
                <w:top w:val="none" w:sz="0" w:space="0" w:color="auto"/>
                <w:left w:val="none" w:sz="0" w:space="0" w:color="auto"/>
                <w:bottom w:val="none" w:sz="0" w:space="0" w:color="auto"/>
                <w:right w:val="none" w:sz="0" w:space="0" w:color="auto"/>
              </w:divBdr>
              <w:divsChild>
                <w:div w:id="1007320902">
                  <w:marLeft w:val="0"/>
                  <w:marRight w:val="0"/>
                  <w:marTop w:val="0"/>
                  <w:marBottom w:val="0"/>
                  <w:divBdr>
                    <w:top w:val="none" w:sz="0" w:space="0" w:color="auto"/>
                    <w:left w:val="none" w:sz="0" w:space="0" w:color="auto"/>
                    <w:bottom w:val="none" w:sz="0" w:space="0" w:color="auto"/>
                    <w:right w:val="none" w:sz="0" w:space="0" w:color="auto"/>
                  </w:divBdr>
                  <w:divsChild>
                    <w:div w:id="1892769763">
                      <w:marLeft w:val="0"/>
                      <w:marRight w:val="0"/>
                      <w:marTop w:val="0"/>
                      <w:marBottom w:val="0"/>
                      <w:divBdr>
                        <w:top w:val="none" w:sz="0" w:space="0" w:color="auto"/>
                        <w:left w:val="none" w:sz="0" w:space="0" w:color="auto"/>
                        <w:bottom w:val="none" w:sz="0" w:space="0" w:color="auto"/>
                        <w:right w:val="none" w:sz="0" w:space="0" w:color="auto"/>
                      </w:divBdr>
                      <w:divsChild>
                        <w:div w:id="537863240">
                          <w:marLeft w:val="0"/>
                          <w:marRight w:val="0"/>
                          <w:marTop w:val="0"/>
                          <w:marBottom w:val="0"/>
                          <w:divBdr>
                            <w:top w:val="none" w:sz="0" w:space="0" w:color="auto"/>
                            <w:left w:val="none" w:sz="0" w:space="0" w:color="auto"/>
                            <w:bottom w:val="none" w:sz="0" w:space="0" w:color="auto"/>
                            <w:right w:val="none" w:sz="0" w:space="0" w:color="auto"/>
                          </w:divBdr>
                          <w:divsChild>
                            <w:div w:id="1542789296">
                              <w:marLeft w:val="0"/>
                              <w:marRight w:val="0"/>
                              <w:marTop w:val="0"/>
                              <w:marBottom w:val="0"/>
                              <w:divBdr>
                                <w:top w:val="none" w:sz="0" w:space="0" w:color="auto"/>
                                <w:left w:val="none" w:sz="0" w:space="0" w:color="auto"/>
                                <w:bottom w:val="none" w:sz="0" w:space="0" w:color="auto"/>
                                <w:right w:val="none" w:sz="0" w:space="0" w:color="auto"/>
                              </w:divBdr>
                              <w:divsChild>
                                <w:div w:id="233131359">
                                  <w:marLeft w:val="0"/>
                                  <w:marRight w:val="0"/>
                                  <w:marTop w:val="0"/>
                                  <w:marBottom w:val="0"/>
                                  <w:divBdr>
                                    <w:top w:val="none" w:sz="0" w:space="0" w:color="auto"/>
                                    <w:left w:val="none" w:sz="0" w:space="0" w:color="auto"/>
                                    <w:bottom w:val="none" w:sz="0" w:space="0" w:color="auto"/>
                                    <w:right w:val="none" w:sz="0" w:space="0" w:color="auto"/>
                                  </w:divBdr>
                                  <w:divsChild>
                                    <w:div w:id="1693024132">
                                      <w:marLeft w:val="0"/>
                                      <w:marRight w:val="0"/>
                                      <w:marTop w:val="0"/>
                                      <w:marBottom w:val="0"/>
                                      <w:divBdr>
                                        <w:top w:val="none" w:sz="0" w:space="0" w:color="auto"/>
                                        <w:left w:val="none" w:sz="0" w:space="0" w:color="auto"/>
                                        <w:bottom w:val="none" w:sz="0" w:space="0" w:color="auto"/>
                                        <w:right w:val="none" w:sz="0" w:space="0" w:color="auto"/>
                                      </w:divBdr>
                                      <w:divsChild>
                                        <w:div w:id="1133593804">
                                          <w:marLeft w:val="0"/>
                                          <w:marRight w:val="0"/>
                                          <w:marTop w:val="0"/>
                                          <w:marBottom w:val="0"/>
                                          <w:divBdr>
                                            <w:top w:val="none" w:sz="0" w:space="0" w:color="auto"/>
                                            <w:left w:val="none" w:sz="0" w:space="0" w:color="auto"/>
                                            <w:bottom w:val="none" w:sz="0" w:space="0" w:color="auto"/>
                                            <w:right w:val="none" w:sz="0" w:space="0" w:color="auto"/>
                                          </w:divBdr>
                                          <w:divsChild>
                                            <w:div w:id="1524055883">
                                              <w:marLeft w:val="0"/>
                                              <w:marRight w:val="0"/>
                                              <w:marTop w:val="0"/>
                                              <w:marBottom w:val="0"/>
                                              <w:divBdr>
                                                <w:top w:val="none" w:sz="0" w:space="0" w:color="auto"/>
                                                <w:left w:val="none" w:sz="0" w:space="0" w:color="auto"/>
                                                <w:bottom w:val="none" w:sz="0" w:space="0" w:color="auto"/>
                                                <w:right w:val="none" w:sz="0" w:space="0" w:color="auto"/>
                                              </w:divBdr>
                                              <w:divsChild>
                                                <w:div w:id="1036468117">
                                                  <w:marLeft w:val="0"/>
                                                  <w:marRight w:val="0"/>
                                                  <w:marTop w:val="0"/>
                                                  <w:marBottom w:val="0"/>
                                                  <w:divBdr>
                                                    <w:top w:val="single" w:sz="12" w:space="2" w:color="FFFFCC"/>
                                                    <w:left w:val="single" w:sz="12" w:space="2" w:color="FFFFCC"/>
                                                    <w:bottom w:val="single" w:sz="12" w:space="2" w:color="FFFFCC"/>
                                                    <w:right w:val="single" w:sz="12" w:space="0" w:color="FFFFCC"/>
                                                  </w:divBdr>
                                                  <w:divsChild>
                                                    <w:div w:id="1868449338">
                                                      <w:marLeft w:val="0"/>
                                                      <w:marRight w:val="0"/>
                                                      <w:marTop w:val="0"/>
                                                      <w:marBottom w:val="0"/>
                                                      <w:divBdr>
                                                        <w:top w:val="none" w:sz="0" w:space="0" w:color="auto"/>
                                                        <w:left w:val="none" w:sz="0" w:space="0" w:color="auto"/>
                                                        <w:bottom w:val="none" w:sz="0" w:space="0" w:color="auto"/>
                                                        <w:right w:val="none" w:sz="0" w:space="0" w:color="auto"/>
                                                      </w:divBdr>
                                                      <w:divsChild>
                                                        <w:div w:id="1060059793">
                                                          <w:marLeft w:val="0"/>
                                                          <w:marRight w:val="0"/>
                                                          <w:marTop w:val="0"/>
                                                          <w:marBottom w:val="0"/>
                                                          <w:divBdr>
                                                            <w:top w:val="none" w:sz="0" w:space="0" w:color="auto"/>
                                                            <w:left w:val="none" w:sz="0" w:space="0" w:color="auto"/>
                                                            <w:bottom w:val="none" w:sz="0" w:space="0" w:color="auto"/>
                                                            <w:right w:val="none" w:sz="0" w:space="0" w:color="auto"/>
                                                          </w:divBdr>
                                                          <w:divsChild>
                                                            <w:div w:id="1223827970">
                                                              <w:marLeft w:val="0"/>
                                                              <w:marRight w:val="0"/>
                                                              <w:marTop w:val="0"/>
                                                              <w:marBottom w:val="0"/>
                                                              <w:divBdr>
                                                                <w:top w:val="none" w:sz="0" w:space="0" w:color="auto"/>
                                                                <w:left w:val="none" w:sz="0" w:space="0" w:color="auto"/>
                                                                <w:bottom w:val="none" w:sz="0" w:space="0" w:color="auto"/>
                                                                <w:right w:val="none" w:sz="0" w:space="0" w:color="auto"/>
                                                              </w:divBdr>
                                                              <w:divsChild>
                                                                <w:div w:id="734084029">
                                                                  <w:marLeft w:val="0"/>
                                                                  <w:marRight w:val="0"/>
                                                                  <w:marTop w:val="0"/>
                                                                  <w:marBottom w:val="0"/>
                                                                  <w:divBdr>
                                                                    <w:top w:val="none" w:sz="0" w:space="0" w:color="auto"/>
                                                                    <w:left w:val="none" w:sz="0" w:space="0" w:color="auto"/>
                                                                    <w:bottom w:val="none" w:sz="0" w:space="0" w:color="auto"/>
                                                                    <w:right w:val="none" w:sz="0" w:space="0" w:color="auto"/>
                                                                  </w:divBdr>
                                                                  <w:divsChild>
                                                                    <w:div w:id="859315076">
                                                                      <w:marLeft w:val="0"/>
                                                                      <w:marRight w:val="0"/>
                                                                      <w:marTop w:val="0"/>
                                                                      <w:marBottom w:val="0"/>
                                                                      <w:divBdr>
                                                                        <w:top w:val="none" w:sz="0" w:space="0" w:color="auto"/>
                                                                        <w:left w:val="none" w:sz="0" w:space="0" w:color="auto"/>
                                                                        <w:bottom w:val="none" w:sz="0" w:space="0" w:color="auto"/>
                                                                        <w:right w:val="none" w:sz="0" w:space="0" w:color="auto"/>
                                                                      </w:divBdr>
                                                                      <w:divsChild>
                                                                        <w:div w:id="972751411">
                                                                          <w:marLeft w:val="0"/>
                                                                          <w:marRight w:val="0"/>
                                                                          <w:marTop w:val="0"/>
                                                                          <w:marBottom w:val="0"/>
                                                                          <w:divBdr>
                                                                            <w:top w:val="none" w:sz="0" w:space="0" w:color="auto"/>
                                                                            <w:left w:val="none" w:sz="0" w:space="0" w:color="auto"/>
                                                                            <w:bottom w:val="none" w:sz="0" w:space="0" w:color="auto"/>
                                                                            <w:right w:val="none" w:sz="0" w:space="0" w:color="auto"/>
                                                                          </w:divBdr>
                                                                          <w:divsChild>
                                                                            <w:div w:id="1588075834">
                                                                              <w:marLeft w:val="0"/>
                                                                              <w:marRight w:val="0"/>
                                                                              <w:marTop w:val="0"/>
                                                                              <w:marBottom w:val="0"/>
                                                                              <w:divBdr>
                                                                                <w:top w:val="none" w:sz="0" w:space="0" w:color="auto"/>
                                                                                <w:left w:val="none" w:sz="0" w:space="0" w:color="auto"/>
                                                                                <w:bottom w:val="none" w:sz="0" w:space="0" w:color="auto"/>
                                                                                <w:right w:val="none" w:sz="0" w:space="0" w:color="auto"/>
                                                                              </w:divBdr>
                                                                              <w:divsChild>
                                                                                <w:div w:id="1092049905">
                                                                                  <w:marLeft w:val="0"/>
                                                                                  <w:marRight w:val="0"/>
                                                                                  <w:marTop w:val="0"/>
                                                                                  <w:marBottom w:val="0"/>
                                                                                  <w:divBdr>
                                                                                    <w:top w:val="none" w:sz="0" w:space="0" w:color="auto"/>
                                                                                    <w:left w:val="none" w:sz="0" w:space="0" w:color="auto"/>
                                                                                    <w:bottom w:val="none" w:sz="0" w:space="0" w:color="auto"/>
                                                                                    <w:right w:val="none" w:sz="0" w:space="0" w:color="auto"/>
                                                                                  </w:divBdr>
                                                                                  <w:divsChild>
                                                                                    <w:div w:id="1018198253">
                                                                                      <w:marLeft w:val="0"/>
                                                                                      <w:marRight w:val="0"/>
                                                                                      <w:marTop w:val="0"/>
                                                                                      <w:marBottom w:val="0"/>
                                                                                      <w:divBdr>
                                                                                        <w:top w:val="none" w:sz="0" w:space="0" w:color="auto"/>
                                                                                        <w:left w:val="none" w:sz="0" w:space="0" w:color="auto"/>
                                                                                        <w:bottom w:val="none" w:sz="0" w:space="0" w:color="auto"/>
                                                                                        <w:right w:val="none" w:sz="0" w:space="0" w:color="auto"/>
                                                                                      </w:divBdr>
                                                                                      <w:divsChild>
                                                                                        <w:div w:id="261836884">
                                                                                          <w:marLeft w:val="0"/>
                                                                                          <w:marRight w:val="0"/>
                                                                                          <w:marTop w:val="0"/>
                                                                                          <w:marBottom w:val="0"/>
                                                                                          <w:divBdr>
                                                                                            <w:top w:val="none" w:sz="0" w:space="0" w:color="auto"/>
                                                                                            <w:left w:val="none" w:sz="0" w:space="0" w:color="auto"/>
                                                                                            <w:bottom w:val="none" w:sz="0" w:space="0" w:color="auto"/>
                                                                                            <w:right w:val="none" w:sz="0" w:space="0" w:color="auto"/>
                                                                                          </w:divBdr>
                                                                                          <w:divsChild>
                                                                                            <w:div w:id="1849784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763800575">
                                                                                                  <w:marLeft w:val="0"/>
                                                                                                  <w:marRight w:val="0"/>
                                                                                                  <w:marTop w:val="0"/>
                                                                                                  <w:marBottom w:val="0"/>
                                                                                                  <w:divBdr>
                                                                                                    <w:top w:val="none" w:sz="0" w:space="0" w:color="auto"/>
                                                                                                    <w:left w:val="none" w:sz="0" w:space="0" w:color="auto"/>
                                                                                                    <w:bottom w:val="none" w:sz="0" w:space="0" w:color="auto"/>
                                                                                                    <w:right w:val="none" w:sz="0" w:space="0" w:color="auto"/>
                                                                                                  </w:divBdr>
                                                                                                  <w:divsChild>
                                                                                                    <w:div w:id="398407890">
                                                                                                      <w:marLeft w:val="0"/>
                                                                                                      <w:marRight w:val="0"/>
                                                                                                      <w:marTop w:val="0"/>
                                                                                                      <w:marBottom w:val="0"/>
                                                                                                      <w:divBdr>
                                                                                                        <w:top w:val="none" w:sz="0" w:space="0" w:color="auto"/>
                                                                                                        <w:left w:val="none" w:sz="0" w:space="0" w:color="auto"/>
                                                                                                        <w:bottom w:val="none" w:sz="0" w:space="0" w:color="auto"/>
                                                                                                        <w:right w:val="none" w:sz="0" w:space="0" w:color="auto"/>
                                                                                                      </w:divBdr>
                                                                                                      <w:divsChild>
                                                                                                        <w:div w:id="917439469">
                                                                                                          <w:marLeft w:val="0"/>
                                                                                                          <w:marRight w:val="0"/>
                                                                                                          <w:marTop w:val="0"/>
                                                                                                          <w:marBottom w:val="0"/>
                                                                                                          <w:divBdr>
                                                                                                            <w:top w:val="none" w:sz="0" w:space="0" w:color="auto"/>
                                                                                                            <w:left w:val="none" w:sz="0" w:space="0" w:color="auto"/>
                                                                                                            <w:bottom w:val="none" w:sz="0" w:space="0" w:color="auto"/>
                                                                                                            <w:right w:val="none" w:sz="0" w:space="0" w:color="auto"/>
                                                                                                          </w:divBdr>
                                                                                                          <w:divsChild>
                                                                                                            <w:div w:id="2011980038">
                                                                                                              <w:marLeft w:val="0"/>
                                                                                                              <w:marRight w:val="0"/>
                                                                                                              <w:marTop w:val="0"/>
                                                                                                              <w:marBottom w:val="0"/>
                                                                                                              <w:divBdr>
                                                                                                                <w:top w:val="none" w:sz="0" w:space="0" w:color="auto"/>
                                                                                                                <w:left w:val="none" w:sz="0" w:space="0" w:color="auto"/>
                                                                                                                <w:bottom w:val="none" w:sz="0" w:space="0" w:color="auto"/>
                                                                                                                <w:right w:val="none" w:sz="0" w:space="0" w:color="auto"/>
                                                                                                              </w:divBdr>
                                                                                                              <w:divsChild>
                                                                                                                <w:div w:id="1492285051">
                                                                                                                  <w:marLeft w:val="0"/>
                                                                                                                  <w:marRight w:val="0"/>
                                                                                                                  <w:marTop w:val="0"/>
                                                                                                                  <w:marBottom w:val="0"/>
                                                                                                                  <w:divBdr>
                                                                                                                    <w:top w:val="none" w:sz="0" w:space="0" w:color="auto"/>
                                                                                                                    <w:left w:val="none" w:sz="0" w:space="0" w:color="auto"/>
                                                                                                                    <w:bottom w:val="none" w:sz="0" w:space="0" w:color="auto"/>
                                                                                                                    <w:right w:val="none" w:sz="0" w:space="0" w:color="auto"/>
                                                                                                                  </w:divBdr>
                                                                                                                  <w:divsChild>
                                                                                                                    <w:div w:id="13591593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707529390">
                                                                                                                          <w:marLeft w:val="225"/>
                                                                                                                          <w:marRight w:val="225"/>
                                                                                                                          <w:marTop w:val="75"/>
                                                                                                                          <w:marBottom w:val="75"/>
                                                                                                                          <w:divBdr>
                                                                                                                            <w:top w:val="none" w:sz="0" w:space="0" w:color="auto"/>
                                                                                                                            <w:left w:val="none" w:sz="0" w:space="0" w:color="auto"/>
                                                                                                                            <w:bottom w:val="none" w:sz="0" w:space="0" w:color="auto"/>
                                                                                                                            <w:right w:val="none" w:sz="0" w:space="0" w:color="auto"/>
                                                                                                                          </w:divBdr>
                                                                                                                          <w:divsChild>
                                                                                                                            <w:div w:id="433477576">
                                                                                                                              <w:marLeft w:val="0"/>
                                                                                                                              <w:marRight w:val="0"/>
                                                                                                                              <w:marTop w:val="0"/>
                                                                                                                              <w:marBottom w:val="0"/>
                                                                                                                              <w:divBdr>
                                                                                                                                <w:top w:val="single" w:sz="6" w:space="0" w:color="auto"/>
                                                                                                                                <w:left w:val="single" w:sz="6" w:space="0" w:color="auto"/>
                                                                                                                                <w:bottom w:val="single" w:sz="6" w:space="0" w:color="auto"/>
                                                                                                                                <w:right w:val="single" w:sz="6" w:space="0" w:color="auto"/>
                                                                                                                              </w:divBdr>
                                                                                                                              <w:divsChild>
                                                                                                                                <w:div w:id="1782722147">
                                                                                                                                  <w:marLeft w:val="0"/>
                                                                                                                                  <w:marRight w:val="0"/>
                                                                                                                                  <w:marTop w:val="0"/>
                                                                                                                                  <w:marBottom w:val="0"/>
                                                                                                                                  <w:divBdr>
                                                                                                                                    <w:top w:val="none" w:sz="0" w:space="0" w:color="auto"/>
                                                                                                                                    <w:left w:val="none" w:sz="0" w:space="0" w:color="auto"/>
                                                                                                                                    <w:bottom w:val="none" w:sz="0" w:space="0" w:color="auto"/>
                                                                                                                                    <w:right w:val="none" w:sz="0" w:space="0" w:color="auto"/>
                                                                                                                                  </w:divBdr>
                                                                                                                                  <w:divsChild>
                                                                                                                                    <w:div w:id="158929370">
                                                                                                                                      <w:marLeft w:val="0"/>
                                                                                                                                      <w:marRight w:val="0"/>
                                                                                                                                      <w:marTop w:val="0"/>
                                                                                                                                      <w:marBottom w:val="0"/>
                                                                                                                                      <w:divBdr>
                                                                                                                                        <w:top w:val="none" w:sz="0" w:space="0" w:color="auto"/>
                                                                                                                                        <w:left w:val="none" w:sz="0" w:space="0" w:color="auto"/>
                                                                                                                                        <w:bottom w:val="none" w:sz="0" w:space="0" w:color="auto"/>
                                                                                                                                        <w:right w:val="none" w:sz="0" w:space="0" w:color="auto"/>
                                                                                                                                      </w:divBdr>
                                                                                                                                    </w:div>
                                                                                                                                    <w:div w:id="621231094">
                                                                                                                                      <w:marLeft w:val="0"/>
                                                                                                                                      <w:marRight w:val="0"/>
                                                                                                                                      <w:marTop w:val="0"/>
                                                                                                                                      <w:marBottom w:val="0"/>
                                                                                                                                      <w:divBdr>
                                                                                                                                        <w:top w:val="none" w:sz="0" w:space="0" w:color="auto"/>
                                                                                                                                        <w:left w:val="none" w:sz="0" w:space="0" w:color="auto"/>
                                                                                                                                        <w:bottom w:val="none" w:sz="0" w:space="0" w:color="auto"/>
                                                                                                                                        <w:right w:val="none" w:sz="0" w:space="0" w:color="auto"/>
                                                                                                                                      </w:divBdr>
                                                                                                                                    </w:div>
                                                                                                                                    <w:div w:id="626200998">
                                                                                                                                      <w:marLeft w:val="0"/>
                                                                                                                                      <w:marRight w:val="0"/>
                                                                                                                                      <w:marTop w:val="0"/>
                                                                                                                                      <w:marBottom w:val="0"/>
                                                                                                                                      <w:divBdr>
                                                                                                                                        <w:top w:val="none" w:sz="0" w:space="0" w:color="auto"/>
                                                                                                                                        <w:left w:val="none" w:sz="0" w:space="0" w:color="auto"/>
                                                                                                                                        <w:bottom w:val="none" w:sz="0" w:space="0" w:color="auto"/>
                                                                                                                                        <w:right w:val="none" w:sz="0" w:space="0" w:color="auto"/>
                                                                                                                                      </w:divBdr>
                                                                                                                                    </w:div>
                                                                                                                                    <w:div w:id="18491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733183">
      <w:bodyDiv w:val="1"/>
      <w:marLeft w:val="0"/>
      <w:marRight w:val="0"/>
      <w:marTop w:val="0"/>
      <w:marBottom w:val="0"/>
      <w:divBdr>
        <w:top w:val="none" w:sz="0" w:space="0" w:color="auto"/>
        <w:left w:val="none" w:sz="0" w:space="0" w:color="auto"/>
        <w:bottom w:val="none" w:sz="0" w:space="0" w:color="auto"/>
        <w:right w:val="none" w:sz="0" w:space="0" w:color="auto"/>
      </w:divBdr>
    </w:div>
    <w:div w:id="1526752876">
      <w:bodyDiv w:val="1"/>
      <w:marLeft w:val="0"/>
      <w:marRight w:val="0"/>
      <w:marTop w:val="0"/>
      <w:marBottom w:val="0"/>
      <w:divBdr>
        <w:top w:val="none" w:sz="0" w:space="0" w:color="auto"/>
        <w:left w:val="none" w:sz="0" w:space="0" w:color="auto"/>
        <w:bottom w:val="none" w:sz="0" w:space="0" w:color="auto"/>
        <w:right w:val="none" w:sz="0" w:space="0" w:color="auto"/>
      </w:divBdr>
    </w:div>
    <w:div w:id="1595474535">
      <w:bodyDiv w:val="1"/>
      <w:marLeft w:val="0"/>
      <w:marRight w:val="0"/>
      <w:marTop w:val="0"/>
      <w:marBottom w:val="0"/>
      <w:divBdr>
        <w:top w:val="none" w:sz="0" w:space="0" w:color="auto"/>
        <w:left w:val="none" w:sz="0" w:space="0" w:color="auto"/>
        <w:bottom w:val="none" w:sz="0" w:space="0" w:color="auto"/>
        <w:right w:val="none" w:sz="0" w:space="0" w:color="auto"/>
      </w:divBdr>
    </w:div>
    <w:div w:id="1598521302">
      <w:bodyDiv w:val="1"/>
      <w:marLeft w:val="0"/>
      <w:marRight w:val="0"/>
      <w:marTop w:val="0"/>
      <w:marBottom w:val="0"/>
      <w:divBdr>
        <w:top w:val="none" w:sz="0" w:space="0" w:color="auto"/>
        <w:left w:val="none" w:sz="0" w:space="0" w:color="auto"/>
        <w:bottom w:val="none" w:sz="0" w:space="0" w:color="auto"/>
        <w:right w:val="none" w:sz="0" w:space="0" w:color="auto"/>
      </w:divBdr>
    </w:div>
    <w:div w:id="1600481288">
      <w:bodyDiv w:val="1"/>
      <w:marLeft w:val="0"/>
      <w:marRight w:val="0"/>
      <w:marTop w:val="0"/>
      <w:marBottom w:val="0"/>
      <w:divBdr>
        <w:top w:val="none" w:sz="0" w:space="0" w:color="auto"/>
        <w:left w:val="none" w:sz="0" w:space="0" w:color="auto"/>
        <w:bottom w:val="none" w:sz="0" w:space="0" w:color="auto"/>
        <w:right w:val="none" w:sz="0" w:space="0" w:color="auto"/>
      </w:divBdr>
    </w:div>
    <w:div w:id="1655789925">
      <w:bodyDiv w:val="1"/>
      <w:marLeft w:val="0"/>
      <w:marRight w:val="0"/>
      <w:marTop w:val="0"/>
      <w:marBottom w:val="0"/>
      <w:divBdr>
        <w:top w:val="none" w:sz="0" w:space="0" w:color="auto"/>
        <w:left w:val="none" w:sz="0" w:space="0" w:color="auto"/>
        <w:bottom w:val="none" w:sz="0" w:space="0" w:color="auto"/>
        <w:right w:val="none" w:sz="0" w:space="0" w:color="auto"/>
      </w:divBdr>
    </w:div>
    <w:div w:id="1694308612">
      <w:bodyDiv w:val="1"/>
      <w:marLeft w:val="0"/>
      <w:marRight w:val="0"/>
      <w:marTop w:val="0"/>
      <w:marBottom w:val="0"/>
      <w:divBdr>
        <w:top w:val="none" w:sz="0" w:space="0" w:color="auto"/>
        <w:left w:val="none" w:sz="0" w:space="0" w:color="auto"/>
        <w:bottom w:val="none" w:sz="0" w:space="0" w:color="auto"/>
        <w:right w:val="none" w:sz="0" w:space="0" w:color="auto"/>
      </w:divBdr>
    </w:div>
    <w:div w:id="1725254029">
      <w:bodyDiv w:val="1"/>
      <w:marLeft w:val="0"/>
      <w:marRight w:val="0"/>
      <w:marTop w:val="0"/>
      <w:marBottom w:val="0"/>
      <w:divBdr>
        <w:top w:val="none" w:sz="0" w:space="0" w:color="auto"/>
        <w:left w:val="none" w:sz="0" w:space="0" w:color="auto"/>
        <w:bottom w:val="none" w:sz="0" w:space="0" w:color="auto"/>
        <w:right w:val="none" w:sz="0" w:space="0" w:color="auto"/>
      </w:divBdr>
      <w:divsChild>
        <w:div w:id="1020158465">
          <w:marLeft w:val="0"/>
          <w:marRight w:val="0"/>
          <w:marTop w:val="0"/>
          <w:marBottom w:val="0"/>
          <w:divBdr>
            <w:top w:val="none" w:sz="0" w:space="0" w:color="auto"/>
            <w:left w:val="none" w:sz="0" w:space="0" w:color="auto"/>
            <w:bottom w:val="none" w:sz="0" w:space="0" w:color="auto"/>
            <w:right w:val="none" w:sz="0" w:space="0" w:color="auto"/>
          </w:divBdr>
          <w:divsChild>
            <w:div w:id="462120992">
              <w:marLeft w:val="0"/>
              <w:marRight w:val="0"/>
              <w:marTop w:val="0"/>
              <w:marBottom w:val="0"/>
              <w:divBdr>
                <w:top w:val="none" w:sz="0" w:space="0" w:color="auto"/>
                <w:left w:val="none" w:sz="0" w:space="0" w:color="auto"/>
                <w:bottom w:val="none" w:sz="0" w:space="0" w:color="auto"/>
                <w:right w:val="none" w:sz="0" w:space="0" w:color="auto"/>
              </w:divBdr>
              <w:divsChild>
                <w:div w:id="1143548378">
                  <w:marLeft w:val="0"/>
                  <w:marRight w:val="0"/>
                  <w:marTop w:val="0"/>
                  <w:marBottom w:val="0"/>
                  <w:divBdr>
                    <w:top w:val="none" w:sz="0" w:space="0" w:color="auto"/>
                    <w:left w:val="none" w:sz="0" w:space="0" w:color="auto"/>
                    <w:bottom w:val="none" w:sz="0" w:space="0" w:color="auto"/>
                    <w:right w:val="none" w:sz="0" w:space="0" w:color="auto"/>
                  </w:divBdr>
                  <w:divsChild>
                    <w:div w:id="1142577787">
                      <w:marLeft w:val="0"/>
                      <w:marRight w:val="0"/>
                      <w:marTop w:val="0"/>
                      <w:marBottom w:val="1320"/>
                      <w:divBdr>
                        <w:top w:val="none" w:sz="0" w:space="0" w:color="auto"/>
                        <w:left w:val="none" w:sz="0" w:space="0" w:color="auto"/>
                        <w:bottom w:val="none" w:sz="0" w:space="0" w:color="auto"/>
                        <w:right w:val="none" w:sz="0" w:space="0" w:color="auto"/>
                      </w:divBdr>
                      <w:divsChild>
                        <w:div w:id="1394430987">
                          <w:marLeft w:val="0"/>
                          <w:marRight w:val="0"/>
                          <w:marTop w:val="0"/>
                          <w:marBottom w:val="0"/>
                          <w:divBdr>
                            <w:top w:val="none" w:sz="0" w:space="0" w:color="auto"/>
                            <w:left w:val="none" w:sz="0" w:space="0" w:color="auto"/>
                            <w:bottom w:val="none" w:sz="0" w:space="0" w:color="auto"/>
                            <w:right w:val="none" w:sz="0" w:space="0" w:color="auto"/>
                          </w:divBdr>
                          <w:divsChild>
                            <w:div w:id="414672525">
                              <w:marLeft w:val="0"/>
                              <w:marRight w:val="0"/>
                              <w:marTop w:val="0"/>
                              <w:marBottom w:val="0"/>
                              <w:divBdr>
                                <w:top w:val="none" w:sz="0" w:space="0" w:color="auto"/>
                                <w:left w:val="none" w:sz="0" w:space="0" w:color="auto"/>
                                <w:bottom w:val="none" w:sz="0" w:space="0" w:color="auto"/>
                                <w:right w:val="none" w:sz="0" w:space="0" w:color="auto"/>
                              </w:divBdr>
                              <w:divsChild>
                                <w:div w:id="236325357">
                                  <w:marLeft w:val="0"/>
                                  <w:marRight w:val="0"/>
                                  <w:marTop w:val="0"/>
                                  <w:marBottom w:val="0"/>
                                  <w:divBdr>
                                    <w:top w:val="none" w:sz="0" w:space="0" w:color="auto"/>
                                    <w:left w:val="none" w:sz="0" w:space="0" w:color="auto"/>
                                    <w:bottom w:val="none" w:sz="0" w:space="0" w:color="auto"/>
                                    <w:right w:val="none" w:sz="0" w:space="0" w:color="auto"/>
                                  </w:divBdr>
                                </w:div>
                                <w:div w:id="240914432">
                                  <w:marLeft w:val="0"/>
                                  <w:marRight w:val="0"/>
                                  <w:marTop w:val="0"/>
                                  <w:marBottom w:val="0"/>
                                  <w:divBdr>
                                    <w:top w:val="none" w:sz="0" w:space="0" w:color="auto"/>
                                    <w:left w:val="none" w:sz="0" w:space="0" w:color="auto"/>
                                    <w:bottom w:val="none" w:sz="0" w:space="0" w:color="auto"/>
                                    <w:right w:val="none" w:sz="0" w:space="0" w:color="auto"/>
                                  </w:divBdr>
                                </w:div>
                                <w:div w:id="339742952">
                                  <w:marLeft w:val="0"/>
                                  <w:marRight w:val="0"/>
                                  <w:marTop w:val="0"/>
                                  <w:marBottom w:val="0"/>
                                  <w:divBdr>
                                    <w:top w:val="none" w:sz="0" w:space="0" w:color="auto"/>
                                    <w:left w:val="none" w:sz="0" w:space="0" w:color="auto"/>
                                    <w:bottom w:val="none" w:sz="0" w:space="0" w:color="auto"/>
                                    <w:right w:val="none" w:sz="0" w:space="0" w:color="auto"/>
                                  </w:divBdr>
                                </w:div>
                                <w:div w:id="349331260">
                                  <w:marLeft w:val="0"/>
                                  <w:marRight w:val="0"/>
                                  <w:marTop w:val="0"/>
                                  <w:marBottom w:val="0"/>
                                  <w:divBdr>
                                    <w:top w:val="none" w:sz="0" w:space="0" w:color="auto"/>
                                    <w:left w:val="none" w:sz="0" w:space="0" w:color="auto"/>
                                    <w:bottom w:val="none" w:sz="0" w:space="0" w:color="auto"/>
                                    <w:right w:val="none" w:sz="0" w:space="0" w:color="auto"/>
                                  </w:divBdr>
                                </w:div>
                                <w:div w:id="520094924">
                                  <w:marLeft w:val="0"/>
                                  <w:marRight w:val="0"/>
                                  <w:marTop w:val="0"/>
                                  <w:marBottom w:val="0"/>
                                  <w:divBdr>
                                    <w:top w:val="none" w:sz="0" w:space="0" w:color="auto"/>
                                    <w:left w:val="none" w:sz="0" w:space="0" w:color="auto"/>
                                    <w:bottom w:val="none" w:sz="0" w:space="0" w:color="auto"/>
                                    <w:right w:val="none" w:sz="0" w:space="0" w:color="auto"/>
                                  </w:divBdr>
                                </w:div>
                                <w:div w:id="874269163">
                                  <w:marLeft w:val="0"/>
                                  <w:marRight w:val="0"/>
                                  <w:marTop w:val="0"/>
                                  <w:marBottom w:val="0"/>
                                  <w:divBdr>
                                    <w:top w:val="none" w:sz="0" w:space="0" w:color="auto"/>
                                    <w:left w:val="none" w:sz="0" w:space="0" w:color="auto"/>
                                    <w:bottom w:val="none" w:sz="0" w:space="0" w:color="auto"/>
                                    <w:right w:val="none" w:sz="0" w:space="0" w:color="auto"/>
                                  </w:divBdr>
                                </w:div>
                                <w:div w:id="891042594">
                                  <w:marLeft w:val="0"/>
                                  <w:marRight w:val="0"/>
                                  <w:marTop w:val="0"/>
                                  <w:marBottom w:val="0"/>
                                  <w:divBdr>
                                    <w:top w:val="none" w:sz="0" w:space="0" w:color="auto"/>
                                    <w:left w:val="none" w:sz="0" w:space="0" w:color="auto"/>
                                    <w:bottom w:val="none" w:sz="0" w:space="0" w:color="auto"/>
                                    <w:right w:val="none" w:sz="0" w:space="0" w:color="auto"/>
                                  </w:divBdr>
                                </w:div>
                                <w:div w:id="1516767229">
                                  <w:marLeft w:val="0"/>
                                  <w:marRight w:val="0"/>
                                  <w:marTop w:val="0"/>
                                  <w:marBottom w:val="0"/>
                                  <w:divBdr>
                                    <w:top w:val="none" w:sz="0" w:space="0" w:color="auto"/>
                                    <w:left w:val="none" w:sz="0" w:space="0" w:color="auto"/>
                                    <w:bottom w:val="none" w:sz="0" w:space="0" w:color="auto"/>
                                    <w:right w:val="none" w:sz="0" w:space="0" w:color="auto"/>
                                  </w:divBdr>
                                </w:div>
                                <w:div w:id="1617562675">
                                  <w:marLeft w:val="0"/>
                                  <w:marRight w:val="0"/>
                                  <w:marTop w:val="0"/>
                                  <w:marBottom w:val="0"/>
                                  <w:divBdr>
                                    <w:top w:val="none" w:sz="0" w:space="0" w:color="auto"/>
                                    <w:left w:val="none" w:sz="0" w:space="0" w:color="auto"/>
                                    <w:bottom w:val="none" w:sz="0" w:space="0" w:color="auto"/>
                                    <w:right w:val="none" w:sz="0" w:space="0" w:color="auto"/>
                                  </w:divBdr>
                                </w:div>
                                <w:div w:id="1625306886">
                                  <w:marLeft w:val="0"/>
                                  <w:marRight w:val="0"/>
                                  <w:marTop w:val="0"/>
                                  <w:marBottom w:val="0"/>
                                  <w:divBdr>
                                    <w:top w:val="none" w:sz="0" w:space="0" w:color="auto"/>
                                    <w:left w:val="none" w:sz="0" w:space="0" w:color="auto"/>
                                    <w:bottom w:val="none" w:sz="0" w:space="0" w:color="auto"/>
                                    <w:right w:val="none" w:sz="0" w:space="0" w:color="auto"/>
                                  </w:divBdr>
                                </w:div>
                                <w:div w:id="1787652994">
                                  <w:marLeft w:val="0"/>
                                  <w:marRight w:val="0"/>
                                  <w:marTop w:val="0"/>
                                  <w:marBottom w:val="0"/>
                                  <w:divBdr>
                                    <w:top w:val="none" w:sz="0" w:space="0" w:color="auto"/>
                                    <w:left w:val="none" w:sz="0" w:space="0" w:color="auto"/>
                                    <w:bottom w:val="none" w:sz="0" w:space="0" w:color="auto"/>
                                    <w:right w:val="none" w:sz="0" w:space="0" w:color="auto"/>
                                  </w:divBdr>
                                </w:div>
                                <w:div w:id="20602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776533">
      <w:bodyDiv w:val="1"/>
      <w:marLeft w:val="0"/>
      <w:marRight w:val="0"/>
      <w:marTop w:val="0"/>
      <w:marBottom w:val="0"/>
      <w:divBdr>
        <w:top w:val="none" w:sz="0" w:space="0" w:color="auto"/>
        <w:left w:val="none" w:sz="0" w:space="0" w:color="auto"/>
        <w:bottom w:val="none" w:sz="0" w:space="0" w:color="auto"/>
        <w:right w:val="none" w:sz="0" w:space="0" w:color="auto"/>
      </w:divBdr>
    </w:div>
    <w:div w:id="1762291838">
      <w:bodyDiv w:val="1"/>
      <w:marLeft w:val="0"/>
      <w:marRight w:val="0"/>
      <w:marTop w:val="0"/>
      <w:marBottom w:val="0"/>
      <w:divBdr>
        <w:top w:val="none" w:sz="0" w:space="0" w:color="auto"/>
        <w:left w:val="none" w:sz="0" w:space="0" w:color="auto"/>
        <w:bottom w:val="none" w:sz="0" w:space="0" w:color="auto"/>
        <w:right w:val="none" w:sz="0" w:space="0" w:color="auto"/>
      </w:divBdr>
    </w:div>
    <w:div w:id="1801727560">
      <w:bodyDiv w:val="1"/>
      <w:marLeft w:val="0"/>
      <w:marRight w:val="0"/>
      <w:marTop w:val="0"/>
      <w:marBottom w:val="0"/>
      <w:divBdr>
        <w:top w:val="none" w:sz="0" w:space="0" w:color="auto"/>
        <w:left w:val="none" w:sz="0" w:space="0" w:color="auto"/>
        <w:bottom w:val="none" w:sz="0" w:space="0" w:color="auto"/>
        <w:right w:val="none" w:sz="0" w:space="0" w:color="auto"/>
      </w:divBdr>
    </w:div>
    <w:div w:id="1815757499">
      <w:bodyDiv w:val="1"/>
      <w:marLeft w:val="0"/>
      <w:marRight w:val="0"/>
      <w:marTop w:val="0"/>
      <w:marBottom w:val="0"/>
      <w:divBdr>
        <w:top w:val="none" w:sz="0" w:space="0" w:color="auto"/>
        <w:left w:val="none" w:sz="0" w:space="0" w:color="auto"/>
        <w:bottom w:val="none" w:sz="0" w:space="0" w:color="auto"/>
        <w:right w:val="none" w:sz="0" w:space="0" w:color="auto"/>
      </w:divBdr>
    </w:div>
    <w:div w:id="1879393734">
      <w:bodyDiv w:val="1"/>
      <w:marLeft w:val="0"/>
      <w:marRight w:val="0"/>
      <w:marTop w:val="0"/>
      <w:marBottom w:val="0"/>
      <w:divBdr>
        <w:top w:val="none" w:sz="0" w:space="0" w:color="auto"/>
        <w:left w:val="none" w:sz="0" w:space="0" w:color="auto"/>
        <w:bottom w:val="none" w:sz="0" w:space="0" w:color="auto"/>
        <w:right w:val="none" w:sz="0" w:space="0" w:color="auto"/>
      </w:divBdr>
    </w:div>
    <w:div w:id="1901793452">
      <w:bodyDiv w:val="1"/>
      <w:marLeft w:val="0"/>
      <w:marRight w:val="0"/>
      <w:marTop w:val="0"/>
      <w:marBottom w:val="0"/>
      <w:divBdr>
        <w:top w:val="none" w:sz="0" w:space="0" w:color="auto"/>
        <w:left w:val="none" w:sz="0" w:space="0" w:color="auto"/>
        <w:bottom w:val="none" w:sz="0" w:space="0" w:color="auto"/>
        <w:right w:val="none" w:sz="0" w:space="0" w:color="auto"/>
      </w:divBdr>
    </w:div>
    <w:div w:id="1934703715">
      <w:bodyDiv w:val="1"/>
      <w:marLeft w:val="0"/>
      <w:marRight w:val="0"/>
      <w:marTop w:val="0"/>
      <w:marBottom w:val="0"/>
      <w:divBdr>
        <w:top w:val="none" w:sz="0" w:space="0" w:color="auto"/>
        <w:left w:val="none" w:sz="0" w:space="0" w:color="auto"/>
        <w:bottom w:val="none" w:sz="0" w:space="0" w:color="auto"/>
        <w:right w:val="none" w:sz="0" w:space="0" w:color="auto"/>
      </w:divBdr>
    </w:div>
    <w:div w:id="1943415473">
      <w:bodyDiv w:val="1"/>
      <w:marLeft w:val="0"/>
      <w:marRight w:val="0"/>
      <w:marTop w:val="0"/>
      <w:marBottom w:val="0"/>
      <w:divBdr>
        <w:top w:val="none" w:sz="0" w:space="0" w:color="auto"/>
        <w:left w:val="none" w:sz="0" w:space="0" w:color="auto"/>
        <w:bottom w:val="none" w:sz="0" w:space="0" w:color="auto"/>
        <w:right w:val="none" w:sz="0" w:space="0" w:color="auto"/>
      </w:divBdr>
      <w:divsChild>
        <w:div w:id="1059093309">
          <w:marLeft w:val="0"/>
          <w:marRight w:val="0"/>
          <w:marTop w:val="0"/>
          <w:marBottom w:val="0"/>
          <w:divBdr>
            <w:top w:val="none" w:sz="0" w:space="0" w:color="auto"/>
            <w:left w:val="none" w:sz="0" w:space="0" w:color="auto"/>
            <w:bottom w:val="none" w:sz="0" w:space="0" w:color="auto"/>
            <w:right w:val="none" w:sz="0" w:space="0" w:color="auto"/>
          </w:divBdr>
          <w:divsChild>
            <w:div w:id="868958334">
              <w:marLeft w:val="0"/>
              <w:marRight w:val="0"/>
              <w:marTop w:val="0"/>
              <w:marBottom w:val="0"/>
              <w:divBdr>
                <w:top w:val="none" w:sz="0" w:space="0" w:color="auto"/>
                <w:left w:val="none" w:sz="0" w:space="0" w:color="auto"/>
                <w:bottom w:val="none" w:sz="0" w:space="0" w:color="auto"/>
                <w:right w:val="none" w:sz="0" w:space="0" w:color="auto"/>
              </w:divBdr>
              <w:divsChild>
                <w:div w:id="848449610">
                  <w:marLeft w:val="0"/>
                  <w:marRight w:val="0"/>
                  <w:marTop w:val="0"/>
                  <w:marBottom w:val="0"/>
                  <w:divBdr>
                    <w:top w:val="none" w:sz="0" w:space="0" w:color="auto"/>
                    <w:left w:val="none" w:sz="0" w:space="0" w:color="auto"/>
                    <w:bottom w:val="none" w:sz="0" w:space="0" w:color="auto"/>
                    <w:right w:val="none" w:sz="0" w:space="0" w:color="auto"/>
                  </w:divBdr>
                  <w:divsChild>
                    <w:div w:id="1902935367">
                      <w:marLeft w:val="0"/>
                      <w:marRight w:val="0"/>
                      <w:marTop w:val="0"/>
                      <w:marBottom w:val="0"/>
                      <w:divBdr>
                        <w:top w:val="none" w:sz="0" w:space="0" w:color="auto"/>
                        <w:left w:val="none" w:sz="0" w:space="0" w:color="auto"/>
                        <w:bottom w:val="none" w:sz="0" w:space="0" w:color="auto"/>
                        <w:right w:val="none" w:sz="0" w:space="0" w:color="auto"/>
                      </w:divBdr>
                      <w:divsChild>
                        <w:div w:id="1472870547">
                          <w:marLeft w:val="0"/>
                          <w:marRight w:val="0"/>
                          <w:marTop w:val="0"/>
                          <w:marBottom w:val="0"/>
                          <w:divBdr>
                            <w:top w:val="none" w:sz="0" w:space="0" w:color="auto"/>
                            <w:left w:val="none" w:sz="0" w:space="0" w:color="auto"/>
                            <w:bottom w:val="none" w:sz="0" w:space="0" w:color="auto"/>
                            <w:right w:val="none" w:sz="0" w:space="0" w:color="auto"/>
                          </w:divBdr>
                          <w:divsChild>
                            <w:div w:id="743838180">
                              <w:marLeft w:val="0"/>
                              <w:marRight w:val="0"/>
                              <w:marTop w:val="0"/>
                              <w:marBottom w:val="0"/>
                              <w:divBdr>
                                <w:top w:val="none" w:sz="0" w:space="0" w:color="auto"/>
                                <w:left w:val="none" w:sz="0" w:space="0" w:color="auto"/>
                                <w:bottom w:val="none" w:sz="0" w:space="0" w:color="auto"/>
                                <w:right w:val="none" w:sz="0" w:space="0" w:color="auto"/>
                              </w:divBdr>
                              <w:divsChild>
                                <w:div w:id="1253707795">
                                  <w:marLeft w:val="0"/>
                                  <w:marRight w:val="0"/>
                                  <w:marTop w:val="0"/>
                                  <w:marBottom w:val="0"/>
                                  <w:divBdr>
                                    <w:top w:val="none" w:sz="0" w:space="0" w:color="auto"/>
                                    <w:left w:val="none" w:sz="0" w:space="0" w:color="auto"/>
                                    <w:bottom w:val="none" w:sz="0" w:space="0" w:color="auto"/>
                                    <w:right w:val="none" w:sz="0" w:space="0" w:color="auto"/>
                                  </w:divBdr>
                                  <w:divsChild>
                                    <w:div w:id="933636971">
                                      <w:marLeft w:val="0"/>
                                      <w:marRight w:val="0"/>
                                      <w:marTop w:val="0"/>
                                      <w:marBottom w:val="0"/>
                                      <w:divBdr>
                                        <w:top w:val="none" w:sz="0" w:space="0" w:color="auto"/>
                                        <w:left w:val="none" w:sz="0" w:space="0" w:color="auto"/>
                                        <w:bottom w:val="none" w:sz="0" w:space="0" w:color="auto"/>
                                        <w:right w:val="none" w:sz="0" w:space="0" w:color="auto"/>
                                      </w:divBdr>
                                      <w:divsChild>
                                        <w:div w:id="1109161944">
                                          <w:marLeft w:val="0"/>
                                          <w:marRight w:val="0"/>
                                          <w:marTop w:val="0"/>
                                          <w:marBottom w:val="0"/>
                                          <w:divBdr>
                                            <w:top w:val="none" w:sz="0" w:space="0" w:color="auto"/>
                                            <w:left w:val="none" w:sz="0" w:space="0" w:color="auto"/>
                                            <w:bottom w:val="none" w:sz="0" w:space="0" w:color="auto"/>
                                            <w:right w:val="none" w:sz="0" w:space="0" w:color="auto"/>
                                          </w:divBdr>
                                          <w:divsChild>
                                            <w:div w:id="614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90973">
      <w:bodyDiv w:val="1"/>
      <w:marLeft w:val="0"/>
      <w:marRight w:val="0"/>
      <w:marTop w:val="0"/>
      <w:marBottom w:val="0"/>
      <w:divBdr>
        <w:top w:val="none" w:sz="0" w:space="0" w:color="auto"/>
        <w:left w:val="none" w:sz="0" w:space="0" w:color="auto"/>
        <w:bottom w:val="none" w:sz="0" w:space="0" w:color="auto"/>
        <w:right w:val="none" w:sz="0" w:space="0" w:color="auto"/>
      </w:divBdr>
    </w:div>
    <w:div w:id="2086415994">
      <w:bodyDiv w:val="1"/>
      <w:marLeft w:val="0"/>
      <w:marRight w:val="0"/>
      <w:marTop w:val="0"/>
      <w:marBottom w:val="0"/>
      <w:divBdr>
        <w:top w:val="none" w:sz="0" w:space="0" w:color="auto"/>
        <w:left w:val="none" w:sz="0" w:space="0" w:color="auto"/>
        <w:bottom w:val="none" w:sz="0" w:space="0" w:color="auto"/>
        <w:right w:val="none" w:sz="0" w:space="0" w:color="auto"/>
      </w:divBdr>
    </w:div>
    <w:div w:id="2086760143">
      <w:bodyDiv w:val="1"/>
      <w:marLeft w:val="0"/>
      <w:marRight w:val="0"/>
      <w:marTop w:val="0"/>
      <w:marBottom w:val="0"/>
      <w:divBdr>
        <w:top w:val="none" w:sz="0" w:space="0" w:color="auto"/>
        <w:left w:val="none" w:sz="0" w:space="0" w:color="auto"/>
        <w:bottom w:val="none" w:sz="0" w:space="0" w:color="auto"/>
        <w:right w:val="none" w:sz="0" w:space="0" w:color="auto"/>
      </w:divBdr>
    </w:div>
    <w:div w:id="2092196817">
      <w:bodyDiv w:val="1"/>
      <w:marLeft w:val="0"/>
      <w:marRight w:val="0"/>
      <w:marTop w:val="0"/>
      <w:marBottom w:val="0"/>
      <w:divBdr>
        <w:top w:val="none" w:sz="0" w:space="0" w:color="auto"/>
        <w:left w:val="none" w:sz="0" w:space="0" w:color="auto"/>
        <w:bottom w:val="none" w:sz="0" w:space="0" w:color="auto"/>
        <w:right w:val="none" w:sz="0" w:space="0" w:color="auto"/>
      </w:divBdr>
    </w:div>
    <w:div w:id="2122912758">
      <w:bodyDiv w:val="1"/>
      <w:marLeft w:val="0"/>
      <w:marRight w:val="0"/>
      <w:marTop w:val="0"/>
      <w:marBottom w:val="0"/>
      <w:divBdr>
        <w:top w:val="none" w:sz="0" w:space="0" w:color="auto"/>
        <w:left w:val="none" w:sz="0" w:space="0" w:color="auto"/>
        <w:bottom w:val="none" w:sz="0" w:space="0" w:color="auto"/>
        <w:right w:val="none" w:sz="0" w:space="0" w:color="auto"/>
      </w:divBdr>
    </w:div>
    <w:div w:id="2122987497">
      <w:bodyDiv w:val="1"/>
      <w:marLeft w:val="0"/>
      <w:marRight w:val="0"/>
      <w:marTop w:val="0"/>
      <w:marBottom w:val="0"/>
      <w:divBdr>
        <w:top w:val="none" w:sz="0" w:space="0" w:color="auto"/>
        <w:left w:val="none" w:sz="0" w:space="0" w:color="auto"/>
        <w:bottom w:val="none" w:sz="0" w:space="0" w:color="auto"/>
        <w:right w:val="none" w:sz="0" w:space="0" w:color="auto"/>
      </w:divBdr>
    </w:div>
    <w:div w:id="21431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3F8B-607E-443E-8F7B-190BC85F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8727</Words>
  <Characters>53153</Characters>
  <Application>Microsoft Office Word</Application>
  <DocSecurity>0</DocSecurity>
  <Lines>817</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UQAM</Company>
  <LinksUpToDate>false</LinksUpToDate>
  <CharactersWithSpaces>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 Marie-Pier</dc:creator>
  <cp:keywords/>
  <dc:description/>
  <cp:lastModifiedBy>Boislard-Pépin, Marie-Aude</cp:lastModifiedBy>
  <cp:revision>75</cp:revision>
  <cp:lastPrinted>2018-02-14T17:22:00Z</cp:lastPrinted>
  <dcterms:created xsi:type="dcterms:W3CDTF">2022-12-23T22:51:00Z</dcterms:created>
  <dcterms:modified xsi:type="dcterms:W3CDTF">2026-03-06T21:47:00Z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