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80" w:rsidRDefault="007A1D4B">
      <w:pPr>
        <w:pStyle w:val="Title"/>
      </w:pPr>
      <w:r>
        <w:t>No evidence of sickness behaviour in immune-challenged field crickets</w:t>
      </w:r>
    </w:p>
    <w:p w:rsidR="009E1F80" w:rsidRDefault="007A1D4B">
      <w:pPr>
        <w:pStyle w:val="Author"/>
      </w:pPr>
      <w:r>
        <w:t>Clint D. Kelly and Jules Mc Cabe Leroux</w:t>
      </w:r>
    </w:p>
    <w:p w:rsidR="009E1F80" w:rsidRPr="007A1D4B" w:rsidRDefault="007A1D4B">
      <w:pPr>
        <w:pStyle w:val="Heading4"/>
        <w:rPr>
          <w:lang w:val="fr-CA"/>
        </w:rPr>
      </w:pPr>
      <w:bookmarkStart w:id="0" w:name="Xd773626352fd2f06a2f7f10429bfd1479d48a53"/>
      <w:r w:rsidRPr="007A1D4B">
        <w:rPr>
          <w:lang w:val="fr-CA"/>
        </w:rPr>
        <w:t>Département des Sciences biologiques, Université du Québec à Montréal</w:t>
      </w:r>
      <w:bookmarkEnd w:id="0"/>
    </w:p>
    <w:p w:rsidR="009E1F80" w:rsidRDefault="007A1D4B">
      <w:pPr>
        <w:pStyle w:val="Heading4"/>
      </w:pPr>
      <w:bookmarkStart w:id="1" w:name="Xd4acdc7e0100869048a954b867ff9d1287d2010"/>
      <w:r>
        <w:t xml:space="preserve">corresponding author email: </w:t>
      </w:r>
      <w:hyperlink r:id="rId7">
        <w:r>
          <w:rPr>
            <w:rStyle w:val="Hyperlink"/>
          </w:rPr>
          <w:t>kelly.clint@uqam.ca</w:t>
        </w:r>
      </w:hyperlink>
      <w:bookmarkEnd w:id="1"/>
    </w:p>
    <w:p w:rsidR="009E1F80" w:rsidRDefault="007A1D4B">
      <w:pPr>
        <w:pStyle w:val="FirstParagraph"/>
      </w:pPr>
      <w:r>
        <w:rPr>
          <w:i/>
        </w:rPr>
        <w:t>Short Title/Running Head</w:t>
      </w:r>
      <w:r>
        <w:t>: Sickness behaviour in crickets</w:t>
      </w:r>
    </w:p>
    <w:p w:rsidR="009E1F80" w:rsidRDefault="009E1F80">
      <w:pPr>
        <w:pStyle w:val="Heading6"/>
      </w:pPr>
      <w:bookmarkStart w:id="2" w:name="section"/>
      <w:bookmarkEnd w:id="2"/>
    </w:p>
    <w:p w:rsidR="009E1F80" w:rsidRDefault="007A1D4B">
      <w:pPr>
        <w:pStyle w:val="Heading1"/>
      </w:pPr>
      <w:bookmarkStart w:id="3" w:name="abstract"/>
      <w:r>
        <w:t>Abstract</w:t>
      </w:r>
      <w:bookmarkEnd w:id="3"/>
    </w:p>
    <w:p w:rsidR="009E1F80" w:rsidRDefault="007A1D4B">
      <w:pPr>
        <w:pStyle w:val="FirstParagraph"/>
      </w:pPr>
      <w:bookmarkStart w:id="4" w:name="OLE_LINK58"/>
      <w:bookmarkStart w:id="5" w:name="OLE_LINK59"/>
      <w:r>
        <w:t>Sickness behaviour is a taxonomically-widespread coordinated set of behavioural changes that increases shelter-seeking while reducing levels of general activity, as well</w:t>
      </w:r>
      <w:r>
        <w:t xml:space="preserve"> as food (anorexia) and water (adipsia) consumption, when fighting infection by pathogens and disease. The leading hypothesis explaining such sickness-related shifts in behaviour is the energy conservation hypothesis. This hypothesis argues that sick (i.e.</w:t>
      </w:r>
      <w:r>
        <w:t> immune-challenged) animals reduce energetic expenditure in order have more energy to fuel an immune response, which in some vertebrates, also includes producing an energetically-expensive physiological fever. We experimentally tested the hypothesis that a</w:t>
      </w:r>
      <w:r>
        <w:t xml:space="preserve">n immune-challenge with lipopolysaccharide (LPS) will cause </w:t>
      </w:r>
      <w:r>
        <w:rPr>
          <w:i/>
        </w:rPr>
        <w:t>Gryllus firmus</w:t>
      </w:r>
      <w:r>
        <w:t xml:space="preserve"> field crickets to reduce their activity, increase shelter-use and avoid foods that interfere with an immune response (i.e. fat) while preferring a diet that fuels an immune response</w:t>
      </w:r>
      <w:r>
        <w:t xml:space="preserve"> (i.e. protein). We found little evidence of sickness behaviour in </w:t>
      </w:r>
      <w:r>
        <w:rPr>
          <w:i/>
        </w:rPr>
        <w:t>Gryllus firmus</w:t>
      </w:r>
      <w:r>
        <w:t xml:space="preserve"> as immune-challenged individuals did not reduce their activity or increase their shelter-seeking. Neither did we observe changes in feeding or drinking behaviour nor a prefer</w:t>
      </w:r>
      <w:r>
        <w:t>ence for protein or avoidance of lipids. Males tended to use shelters less than females but no other behaviours differed between the sexes. The lack of sickness behaviour in our study might reflect the fact that invertebrates do not possess energetically-e</w:t>
      </w:r>
      <w:r>
        <w:t>xpensive physiological fever as part of their immune response. Therefore, there is little reason to conserve energy via reduced activity or increased shelter use when immune-challenged.</w:t>
      </w:r>
    </w:p>
    <w:bookmarkEnd w:id="4"/>
    <w:bookmarkEnd w:id="5"/>
    <w:p w:rsidR="009E1F80" w:rsidRDefault="007A1D4B">
      <w:pPr>
        <w:pStyle w:val="BodyText"/>
      </w:pPr>
      <w:r>
        <w:t xml:space="preserve">Keywords: </w:t>
      </w:r>
      <w:bookmarkStart w:id="6" w:name="OLE_LINK60"/>
      <w:bookmarkStart w:id="7" w:name="OLE_LINK61"/>
      <w:bookmarkStart w:id="8" w:name="_GoBack"/>
      <w:r>
        <w:t xml:space="preserve">sickness behaviour, immunity, diet, sex differences, fever, </w:t>
      </w:r>
      <w:r>
        <w:t>anorexia, adipsia</w:t>
      </w:r>
      <w:bookmarkEnd w:id="6"/>
      <w:bookmarkEnd w:id="7"/>
      <w:bookmarkEnd w:id="8"/>
    </w:p>
    <w:p w:rsidR="009E1F80" w:rsidRDefault="009E1F80">
      <w:pPr>
        <w:pStyle w:val="Heading5"/>
      </w:pPr>
      <w:bookmarkStart w:id="9" w:name="section-1"/>
      <w:bookmarkEnd w:id="9"/>
    </w:p>
    <w:p w:rsidR="009E1F80" w:rsidRDefault="007A1D4B">
      <w:pPr>
        <w:pStyle w:val="Heading1"/>
      </w:pPr>
      <w:bookmarkStart w:id="10" w:name="introduction"/>
      <w:r>
        <w:t>Introduction</w:t>
      </w:r>
      <w:bookmarkEnd w:id="10"/>
    </w:p>
    <w:p w:rsidR="009E1F80" w:rsidRDefault="007A1D4B">
      <w:pPr>
        <w:pStyle w:val="FirstParagraph"/>
      </w:pPr>
      <w:r>
        <w:t>Pathogens and disease are ubiquitous in nature and infection by them is an inevitability for animals. Consequently, natural selection has shaped animals to adaptively modify their behaviour and physiology to maximize fitness</w:t>
      </w:r>
      <w:r>
        <w:t xml:space="preserve"> under such conditions. In combination with behavioural (e.g. Vaughn et al. 1974; Adamo 2008) or physiological (Roberts 1991) fever, part of the adaptive response to infection is a coordinated set of behavioural changes that increases shelter-seeking while</w:t>
      </w:r>
      <w:r>
        <w:t xml:space="preserve"> reducing levels of social interaction, exploratory behaviour, reproductive behaviour, general activity, and food (anorexia) and water (adipsia) consumption (Hart 1988; Ashley and Wingfield 2012). This suite of adaptive behavioural changes is known as sick</w:t>
      </w:r>
      <w:r>
        <w:t>ness behaviour (Hart 1988).</w:t>
      </w:r>
    </w:p>
    <w:p w:rsidR="009E1F80" w:rsidRDefault="007A1D4B">
      <w:pPr>
        <w:pStyle w:val="BodyText"/>
      </w:pPr>
      <w:r>
        <w:t>That sickness behaviour can be induced by an immune-challenge (e.g. lipopolysaccharide, LPS) in both vertebrates (Dantzer 2004; see also Owen-Ashley et al. 2006; Owen-Ashley and Wingfield 2006) and invertebrates (e.g. Dunn et al</w:t>
      </w:r>
      <w:r>
        <w:t>. 1994; Adamo et al. 2007; Bashir-Tanoli and Tinsley 2014; Kazlauskas et al. 2016) suggests that post-infection behavioural changes are due to a host response and not due to manipulation by the pathogen or the by-products of infection (see also Johnson 200</w:t>
      </w:r>
      <w:r>
        <w:t>2). The proximate mechanism underlying behavioural modifications involves interactions between nonspecific, innate immune responses, and the nervous and endocrine systems with mediation by pro-inflammatory cytokines (e.g. IL-6) in vertebrates (Hart 1988; D</w:t>
      </w:r>
      <w:r>
        <w:t>antzer and Kelley 1989; Johnson 2002; Dantzer et al. 2008; Ashley and Wingfield 2012) and insects (Adamo 2008, 2012; Ishii et al. 2015).</w:t>
      </w:r>
    </w:p>
    <w:p w:rsidR="009E1F80" w:rsidRDefault="007A1D4B">
      <w:pPr>
        <w:pStyle w:val="BodyText"/>
      </w:pPr>
      <w:r>
        <w:t>Sickness behaviour is not only observed across a wide range of animal taxa (reviewed in Sullivan et al. 2016) including</w:t>
      </w:r>
      <w:r>
        <w:t xml:space="preserve"> mammals (e.g. Hart 1988; Bilbo et al. 2002; Carlton and Demas 2014), amphibians (e.g. Llewellyn et al. 2011), birds (e.g. Lopes et al. 2012; Owen-Ashley et al. 2006; Owen-Ashley and Wingfield 2006), and insects (e.g. Bos et al. 2012; Dunn et al. 1994; Ada</w:t>
      </w:r>
      <w:r>
        <w:t>mo et al. 2007, 2010; Ayres and Schneider 2009; Bashir-Tanoli and Tinsley 2014; Kazlauskas et al. 2016; Sullivan et al. 2016) but the behaviours are remarkably similar across phyla despite taxa having markedly different physiologies and immune systems. Suc</w:t>
      </w:r>
      <w:r>
        <w:t>h phylogenetic conservatism surely attests to sickness behaviour having fitness-value, but what is its value? A leading hypothesis argues that sickness behaviour adaptively functions to conserve energy because these behaviours permit the reallocation of en</w:t>
      </w:r>
      <w:r>
        <w:t>ergy to immunological defences including the production of fever (Hart 1988; Ashley and Wingfield 2012). Another hypothesis argues that sickness behaviour reduces predation risk because these behaviours minimize exposure to predators through reduced activi</w:t>
      </w:r>
      <w:r>
        <w:t>ty and increased shelter use (Dantzer 2004; Dantzer and Kelley 2007; Ashley and Wingfield 2012).</w:t>
      </w:r>
    </w:p>
    <w:p w:rsidR="009E1F80" w:rsidRDefault="007A1D4B">
      <w:pPr>
        <w:pStyle w:val="BodyText"/>
      </w:pPr>
      <w:r>
        <w:t>Though sickness behaviour is generally consistent across animal taxa, within taxa, however, males and females can differ in the expression of sickness behaviou</w:t>
      </w:r>
      <w:r>
        <w:t>rs due to different life-history demands and the timing of such demands. For example, mating behaviour is inhibited in female, but not male, rats after administration of Il-1 while the suppressive effects on activity are comparable in both sexes, thus sugg</w:t>
      </w:r>
      <w:r>
        <w:t>esting that sex differences in sensitivity to IL-1 is particular to sexual behaviour (Yirmiya et al. 1995). Inhibition of sexual behaviour in female rats is likely adaptive because it prevents conception while the animal is sick, thereby minimizing the pos</w:t>
      </w:r>
      <w:r>
        <w:t xml:space="preserve">sibility of spontaneous abortion or abnormal development of offspring (Yirmiya et al. 1995). </w:t>
      </w:r>
      <w:r>
        <w:lastRenderedPageBreak/>
        <w:t xml:space="preserve">Males, on the other hand, continue to mate while sick because this strategy maximizes male fitness (Ashley and Wingfield 2012). Sexual dimorphism might also arise </w:t>
      </w:r>
      <w:r>
        <w:t xml:space="preserve">because the sexes differ physiologically. For example, immune-challenged male </w:t>
      </w:r>
      <w:r>
        <w:rPr>
          <w:i/>
        </w:rPr>
        <w:t>Drosophila melanogaster</w:t>
      </w:r>
      <w:r>
        <w:t xml:space="preserve"> experience a greater downregulation of metabolic rate than females despite both sexes having similar food intakes (Bashir-Tanoli and Tinsley 2014). Howeve</w:t>
      </w:r>
      <w:r>
        <w:t>r, because females are able to resorb their eggs to use as metabolic fuel, they are able to maintain (or even increase) their metabolic rate while food acquisition is restricted during an immune response.</w:t>
      </w:r>
    </w:p>
    <w:p w:rsidR="009E1F80" w:rsidRDefault="007A1D4B">
      <w:pPr>
        <w:pStyle w:val="BodyText"/>
      </w:pPr>
      <w:r>
        <w:t>Restricted food and water intake are common respons</w:t>
      </w:r>
      <w:r>
        <w:t>es by vertebrates (Ashley and Wingfield 2012) and invertebrates (e.g. Bashir-Tanoli and Tinsley 2014; Sullivan et al. 2016) to infection. However, because physiological fever, and the activation and maintenance of immune responses require considerable ener</w:t>
      </w:r>
      <w:r>
        <w:t>gy to fuel, energy reserves will decline over time. This will require that at some point animals will need to resume feeding (if they have ceased) to replenish their energy reserves. The time until refeeding will likely depend on many factors including the</w:t>
      </w:r>
      <w:r>
        <w:t xml:space="preserve"> condition of the animal; individuals in poor body condition are expected to resume feeding sooner after the onset of illness than an individual with greater energy stores (Ashley and Wingfield 2012). In some cases, anorexic individuals might not completel</w:t>
      </w:r>
      <w:r>
        <w:t>y cease food acquisition but rather might feed selectively (Kyriazakis et al. 1998) to avoid, for example, fat because dietary lipid can reduce immune function (Adamo et al. 2010). Protein might also be avoided because it generally contains micronutrients,</w:t>
      </w:r>
      <w:r>
        <w:t xml:space="preserve"> such as iron, zinc, and copper, that are limiting for bacterial growth (Aubert et al. 1995; reviewed in Ashley and Wingfield 2012). Some studies in insects have indeed shown that immune-challenged individuals prefer carbohydrate-rich diets compared with p</w:t>
      </w:r>
      <w:r>
        <w:t>rotein-rich ones (Graham et al. 2014; Ponton et al. 2020). On the other hand, if mounting an immune response increases demands for protein then immune-challenged animals should seek protein-rich diets (Lee et al. 2006; Povey et al. 2009). There is little g</w:t>
      </w:r>
      <w:r>
        <w:t>eneral consensus as to what type of macronutrient immune-challenged animals should prefer.</w:t>
      </w:r>
    </w:p>
    <w:p w:rsidR="009E1F80" w:rsidRDefault="007A1D4B">
      <w:pPr>
        <w:pStyle w:val="BodyText"/>
      </w:pPr>
      <w:r>
        <w:t xml:space="preserve">In this study, we experimentally test the hypothesis that </w:t>
      </w:r>
      <w:r>
        <w:rPr>
          <w:i/>
        </w:rPr>
        <w:t>Gryllus firmus</w:t>
      </w:r>
      <w:r>
        <w:t xml:space="preserve"> field crickets that are immune-challenged with lipopolysaccharide (LPS) will adaptively exhi</w:t>
      </w:r>
      <w:r>
        <w:t>bit sickness behaviours including increased shelter use, decreased locomotion, decreased activity, and decreased food and water intake. We expect immune-challenged crickets to be anorexic (reduce food consumption compared with controls), but we also expect</w:t>
      </w:r>
      <w:r>
        <w:t xml:space="preserve"> that when they do eat they will selectively consume protein rather than carbohydrate and fat. In addition, we address the more rarely-tested prediction of whether the sexes differ in sickness behaviours.</w:t>
      </w:r>
    </w:p>
    <w:p w:rsidR="009E1F80" w:rsidRDefault="007A1D4B">
      <w:pPr>
        <w:pStyle w:val="Heading1"/>
      </w:pPr>
      <w:bookmarkStart w:id="11" w:name="methods"/>
      <w:r>
        <w:t>Methods</w:t>
      </w:r>
      <w:bookmarkEnd w:id="11"/>
    </w:p>
    <w:p w:rsidR="009E1F80" w:rsidRDefault="007A1D4B">
      <w:pPr>
        <w:pStyle w:val="Heading2"/>
      </w:pPr>
      <w:bookmarkStart w:id="12" w:name="experimental-animal-rearing"/>
      <w:r>
        <w:t>Experimental animal rearing</w:t>
      </w:r>
      <w:bookmarkEnd w:id="12"/>
    </w:p>
    <w:p w:rsidR="009E1F80" w:rsidRDefault="007A1D4B">
      <w:pPr>
        <w:pStyle w:val="FirstParagraph"/>
      </w:pPr>
      <w:r>
        <w:t>Experimental cr</w:t>
      </w:r>
      <w:r>
        <w:t xml:space="preserve">ickets were lab-reared descendants from wild individuals caught near Gainsville, FL. Crickets were maintained in a growth chamber at a constant temperature (28°C) and humidity (60%) with 12‐hr day/night light schedule. We maintained colony animals in 70‐L </w:t>
      </w:r>
      <w:r>
        <w:t>mixed‐sex bins of about 50 adult individuals, provided with cotton‐plugged water vials and ad libitum Iams™ Proactive Health™ adult original cat food. Each bin was provisioned with stacked cardboard egg cartons to provide refuge and wire mesh lids to provi</w:t>
      </w:r>
      <w:r>
        <w:t xml:space="preserve">de ventilation. Crickets were isolated individually in small deli cups prior to final eclosion to ensure virginity. </w:t>
      </w:r>
      <w:r>
        <w:lastRenderedPageBreak/>
        <w:t>Crickets were not fed 24h prior to testing to increase their motivation to feed during trials (Sullivan et al. 2016).</w:t>
      </w:r>
    </w:p>
    <w:p w:rsidR="009E1F80" w:rsidRDefault="007A1D4B">
      <w:pPr>
        <w:pStyle w:val="Heading2"/>
      </w:pPr>
      <w:bookmarkStart w:id="13" w:name="immune-challenge"/>
      <w:r>
        <w:t>Immune challenge</w:t>
      </w:r>
      <w:bookmarkEnd w:id="13"/>
    </w:p>
    <w:p w:rsidR="009E1F80" w:rsidRDefault="007A1D4B">
      <w:pPr>
        <w:pStyle w:val="FirstParagraph"/>
      </w:pPr>
      <w:r>
        <w:t>Lipop</w:t>
      </w:r>
      <w:r>
        <w:t xml:space="preserve">olysaccharide (LPS) is a nonpathogenic and nonliving elicitor that stimulates several pathways in the immune system of insects (Moret and Schmid-Hempel 2000; Ahmed et al. 2002; Kelly 2011) including gryllid crickets. For example, LPS causes a reduction in </w:t>
      </w:r>
      <w:r>
        <w:t>daily calling rate (</w:t>
      </w:r>
      <w:r>
        <w:rPr>
          <w:i/>
        </w:rPr>
        <w:t>G. campestris</w:t>
      </w:r>
      <w:r>
        <w:t>, Jacot et al. 2004), terminal investment by males (</w:t>
      </w:r>
      <w:r>
        <w:rPr>
          <w:i/>
        </w:rPr>
        <w:t>G. texensis</w:t>
      </w:r>
      <w:r>
        <w:t>, Kelly et al. 2015) and females (</w:t>
      </w:r>
      <w:r>
        <w:rPr>
          <w:i/>
        </w:rPr>
        <w:t>Acheta domesticus</w:t>
      </w:r>
      <w:r>
        <w:t>, Adamo 1999), prolonged development to adulthood (</w:t>
      </w:r>
      <w:r>
        <w:rPr>
          <w:i/>
        </w:rPr>
        <w:t>G. texensis</w:t>
      </w:r>
      <w:r>
        <w:t>, Kelly et al. 2014), the production of signifi</w:t>
      </w:r>
      <w:r>
        <w:t>cantly smaller spermatophores (</w:t>
      </w:r>
      <w:r>
        <w:rPr>
          <w:i/>
        </w:rPr>
        <w:t>Gryllodes sigillatus</w:t>
      </w:r>
      <w:r>
        <w:t>, Kerr et al. 2010), immune system activation (</w:t>
      </w:r>
      <w:r>
        <w:rPr>
          <w:i/>
        </w:rPr>
        <w:t>G. firmus</w:t>
      </w:r>
      <w:r>
        <w:t xml:space="preserve">, Park and Stanley 2015; </w:t>
      </w:r>
      <w:r>
        <w:rPr>
          <w:i/>
        </w:rPr>
        <w:t>A. domesticus</w:t>
      </w:r>
      <w:r>
        <w:t>, Charles and Killian 2015), and affects the expression of sexually selected traits (</w:t>
      </w:r>
      <w:r>
        <w:rPr>
          <w:i/>
        </w:rPr>
        <w:t>G. campestris</w:t>
      </w:r>
      <w:r>
        <w:t>, Jacot et al</w:t>
      </w:r>
      <w:r>
        <w:t>. 2005). Immediately prior to behavioural testing (see below), crickets (7-12 d post-eclosion) were anesthetized by being placed inside a 50 mL tube on ice for 390 s. We then haphazardly assigned each to an immune status treatment and administered either a</w:t>
      </w:r>
      <w:r>
        <w:t xml:space="preserve"> 5 </w:t>
      </w:r>
      <m:oMath>
        <m:r>
          <w:rPr>
            <w:rFonts w:ascii="Cambria Math" w:hAnsi="Cambria Math"/>
          </w:rPr>
          <m:t>μ</m:t>
        </m:r>
      </m:oMath>
      <w:r>
        <w:t xml:space="preserve">l injection of phosphate-buffered saline (PBS; Sigma-Aldrich, St. Louis, USA) (control) or 100 </w:t>
      </w:r>
      <m:oMath>
        <m:r>
          <w:rPr>
            <w:rFonts w:ascii="Cambria Math" w:hAnsi="Cambria Math"/>
          </w:rPr>
          <m:t>μ</m:t>
        </m:r>
      </m:oMath>
      <w:r>
        <w:t xml:space="preserve">g of LPS (Sigma-Aldrich) derived from the bacterium </w:t>
      </w:r>
      <w:r>
        <w:rPr>
          <w:i/>
        </w:rPr>
        <w:t>Serratia marcescens</w:t>
      </w:r>
      <w:r>
        <w:t xml:space="preserve"> dissolved in 5 </w:t>
      </w:r>
      <m:oMath>
        <m:r>
          <w:rPr>
            <w:rFonts w:ascii="Cambria Math" w:hAnsi="Cambria Math"/>
          </w:rPr>
          <m:t>μ</m:t>
        </m:r>
      </m:oMath>
      <w:r>
        <w:t xml:space="preserve">l of PBS (experimental). Park and Stanley (2015) found that 100 </w:t>
      </w:r>
      <m:oMath>
        <m:r>
          <w:rPr>
            <w:rFonts w:ascii="Cambria Math" w:hAnsi="Cambria Math"/>
          </w:rPr>
          <m:t>μ</m:t>
        </m:r>
      </m:oMath>
      <w:r>
        <w:t xml:space="preserve">g of LPS elicited a significant immune response (nodulation) within 1 hour after injection in adult </w:t>
      </w:r>
      <w:r>
        <w:rPr>
          <w:i/>
        </w:rPr>
        <w:t>G. firmus</w:t>
      </w:r>
      <w:r>
        <w:t xml:space="preserve"> crickets. All injections were given into the haemocoel, through the membrane between the sixth and seventh abdominal sternites using a 10 </w:t>
      </w:r>
      <m:oMath>
        <m:r>
          <w:rPr>
            <w:rFonts w:ascii="Cambria Math" w:hAnsi="Cambria Math"/>
          </w:rPr>
          <m:t>μ</m:t>
        </m:r>
      </m:oMath>
      <w:r>
        <w:t>L Ham</w:t>
      </w:r>
      <w:r>
        <w:t>ilton syringe equipped with a 26s-gauge needle. Separate syringes were used for injecting saline and LPS. Syringes were rinsed with ethanol and distilled water between injections and injection sites on crickets were sterilized with an ethanol-soaked cotton</w:t>
      </w:r>
      <w:r>
        <w:t xml:space="preserve"> ball prior to injection.</w:t>
      </w:r>
    </w:p>
    <w:p w:rsidR="009E1F80" w:rsidRDefault="007A1D4B">
      <w:pPr>
        <w:pStyle w:val="Heading2"/>
      </w:pPr>
      <w:bookmarkStart w:id="14" w:name="behavioural-trials"/>
      <w:r>
        <w:t>Behavioural trials</w:t>
      </w:r>
      <w:bookmarkEnd w:id="14"/>
    </w:p>
    <w:p w:rsidR="009E1F80" w:rsidRDefault="007A1D4B">
      <w:pPr>
        <w:pStyle w:val="FirstParagraph"/>
      </w:pPr>
      <w:r>
        <w:t>We measured the post-injection behaviour of crickets using Ethovision® XT video tracking software (Noldus et al. 2001) and PhenoTyper® observation arenas (30 × 30 × 35 cm), outfitted with a built‐in infrared cam</w:t>
      </w:r>
      <w:r>
        <w:t>era for overhead behavioral recording. After injection, crickets were placed individually in an arena containing a shelter (a 59 mL inverted plastic cup) and four plastic dishes (35 mm diameter). Each dish contained 0.03 g of either protein [3:1:1 mix of c</w:t>
      </w:r>
      <w:r>
        <w:t>asein, peptone, and albumen (42%), cellulose (56.2% ), Wesson’s salt mixture (1.8%)], carbohydrate [42% carbohydrate diet consisting of equal parts 1:1 mix of sucrose and dextrin (42%), cellulose (56.2% ), Wesson’s salt mixture (1.8%)], fat [organic, fresh</w:t>
      </w:r>
      <w:r>
        <w:t>-pressed ﬂax oil (Flora) (42%), cellulose (56.2%), Wesson’s salt mixture (1.8%)], or water (a small water-soaked cotton ball). The shelter was placed in the centre of the arena and contained a single exit/entrance hole. The diet and water dishes were rando</w:t>
      </w:r>
      <w:r>
        <w:t>mly assigned to a corner of the arena and placed 6 cm from the arena sides to avoid sampling bias due to thigmotaxis. We video-recorded crickets for 3 h to maximize behavioural observation time after immune activation while also maximizing the number of sa</w:t>
      </w:r>
      <w:r>
        <w:t>mples processed (~16 animals per day). In each trial, we recorded each cricket’s distance traveled (cm), speed (cm/s), activity (movement not necessarily involving displacement of the centre tracking point e.g. a cricket turning “on the spot”), amount of t</w:t>
      </w:r>
      <w:r>
        <w:t xml:space="preserve">ime spent in the shelter (s), and on the three diets and water (s). We used time spent on the diets and water as a proxy for feeding duration and thus diet choice. The difference in food mass before and after a trial would provide an ideal measure of food </w:t>
      </w:r>
      <w:r>
        <w:t xml:space="preserve">consumption (and diet choice), however, we could </w:t>
      </w:r>
      <w:r>
        <w:lastRenderedPageBreak/>
        <w:t>not weigh the food after the trial because crickets tend to defecate into the food dish and removal of the feces is not possible without also removing some food. However, two lines of evidence support our ex</w:t>
      </w:r>
      <w:r>
        <w:t>perimental protocol of using time spent on each of the diets. First, pilot observations showed that crickets typically consumed the diet while in the dish. Second, crickets that visited (and presumably fed on) a diet at least once weighed significantly mor</w:t>
      </w:r>
      <w:r>
        <w:t>e at the end of a trial than those that did not visit a diet (did not visit: 0.67 ± 0.0021 g; visited: 0.68 ± 0.0011 g; ANCOVA controlling for pre-trial body mass: F=17.73, df=1, 645, p&lt; 0.0001).</w:t>
      </w:r>
    </w:p>
    <w:p w:rsidR="009E1F80" w:rsidRDefault="007A1D4B">
      <w:pPr>
        <w:pStyle w:val="BodyText"/>
      </w:pPr>
      <w:r>
        <w:t>We excluded n=44 videos due to missing data as a result of t</w:t>
      </w:r>
      <w:r>
        <w:t>racking errors. Crickets were weighed (to the nearest 0.001 g) immediately before and after their trial using a Sartorius (Göttingen, Germany) analytical balance. We measured each cricket’s pronotum length (mm) after each trial. Pronotum length, a proxy me</w:t>
      </w:r>
      <w:r>
        <w:t>asure of structural body size (see Kelly et al. 2014), was defined as the distance between the anterior and posterior edges of the pronotum and was measured to the nearest 0.001 mm under a Leica S6D stereomicroscope using Leica Application Suite (LAS) imag</w:t>
      </w:r>
      <w:r>
        <w:t>e analysis software (Leica Microsystems Inc., Buffalo Grove, IL, USA). Trials were conducted in the dark and each cricket was used in one trial only.</w:t>
      </w:r>
    </w:p>
    <w:p w:rsidR="009E1F80" w:rsidRDefault="007A1D4B">
      <w:pPr>
        <w:pStyle w:val="Heading2"/>
      </w:pPr>
      <w:bookmarkStart w:id="15" w:name="statistical-analysis"/>
      <w:r>
        <w:t>Statistical analysis</w:t>
      </w:r>
      <w:bookmarkEnd w:id="15"/>
    </w:p>
    <w:p w:rsidR="009E1F80" w:rsidRDefault="007A1D4B">
      <w:pPr>
        <w:pStyle w:val="FirstParagraph"/>
      </w:pPr>
      <w:r>
        <w:t>We tested the assumption that individuals assigned to the PBS and sickness (i.e. immu</w:t>
      </w:r>
      <w:r>
        <w:t>ne-challenged) treatments did not differ in age by using a Poisson regression because the response variable was a positive integer. Treatment differences in pronotum length or pre-trial body mass were tested by using a general linear model for each sex sep</w:t>
      </w:r>
      <w:r>
        <w:t>arately because of sexual size dimorphism in this species (e.g. Wey et al. 2019).</w:t>
      </w:r>
    </w:p>
    <w:p w:rsidR="009E1F80" w:rsidRDefault="007A1D4B">
      <w:pPr>
        <w:pStyle w:val="BodyText"/>
      </w:pPr>
      <w:r>
        <w:t>We performed an ANCOVA to determine whether mass change during the trial was related to sex or treatment. We first conducted a heterogeneity of slopes test by entering post-trial mass as the response variable, and sex, treatment, initial mass, and their in</w:t>
      </w:r>
      <w:r>
        <w:t>teractions as independent factors into a general linear model. If the three- and two-way interactions between sex, treatment, and pre-trial mass were not statistically significant, they were removed and the ANCOVA was performed.</w:t>
      </w:r>
    </w:p>
    <w:p w:rsidR="009E1F80" w:rsidRDefault="007A1D4B">
      <w:pPr>
        <w:pStyle w:val="BodyText"/>
      </w:pPr>
      <w:r>
        <w:t>We tested the effect of sex</w:t>
      </w:r>
      <w:r>
        <w:t>, treatment, and their interaction on the frequency of shelter use, time in shelter, total distance traveled, speed, and activity by using separate general linear models. The time spent in the shelter and frequency of shelter use were analyzed using negati</w:t>
      </w:r>
      <w:r>
        <w:t>ve binomial models because data were zero-inflated. Total distance traveled, speed, and activity were Box-Cox transformed prior to analysis in order to meet the assumption that model residuals are normally distributed.</w:t>
      </w:r>
    </w:p>
    <w:p w:rsidR="009E1F80" w:rsidRDefault="007A1D4B">
      <w:pPr>
        <w:pStyle w:val="BodyText"/>
      </w:pPr>
      <w:r>
        <w:t>We quantified phenotypic correlations</w:t>
      </w:r>
      <w:r>
        <w:t xml:space="preserve"> between all five recorded behaviours for each sex and treatment separately by using Pearson product-moment correlations (</w:t>
      </w:r>
      <w:r>
        <w:rPr>
          <w:i/>
        </w:rPr>
        <w:t>r</w:t>
      </w:r>
      <w:r>
        <w:t>). P-values were adjusted for multiple tests using Holm’s method.</w:t>
      </w:r>
    </w:p>
    <w:p w:rsidR="009E1F80" w:rsidRDefault="007A1D4B">
      <w:pPr>
        <w:pStyle w:val="BodyText"/>
      </w:pPr>
      <w:r>
        <w:t>We tested the effect of sex and treatment on the time spent on each</w:t>
      </w:r>
      <w:r>
        <w:t xml:space="preserve"> diet and water by using a generalized linear mixed model with sex and treatment entered as fixed independent factors and cricket ID entered as a random effect. Cricket ID was entered as a random effect because each cricket contributed four data points to </w:t>
      </w:r>
      <w:r>
        <w:t xml:space="preserve">the dataset (one for each nutrient). Models testing visitation frequency used a Poisson error distribution because the response variable was a count </w:t>
      </w:r>
      <w:r>
        <w:lastRenderedPageBreak/>
        <w:t>whereas models testing time on diets and water used a Gaussian distribution. Full (all interactions include</w:t>
      </w:r>
      <w:r>
        <w:t xml:space="preserve">d) and reduced models (interactions removed) were compared by using AIC and chi-square tests using the </w:t>
      </w:r>
      <w:r>
        <w:rPr>
          <w:i/>
        </w:rPr>
        <w:t>anova</w:t>
      </w:r>
      <w:r>
        <w:t xml:space="preserve"> function in R (R Development Core Team 2013). Post-hoc tests of sex and treatment effects on visitation to and time on each of the three diets and </w:t>
      </w:r>
      <w:r>
        <w:t xml:space="preserve">water were examined using the R package </w:t>
      </w:r>
      <w:r>
        <w:rPr>
          <w:i/>
        </w:rPr>
        <w:t>emmeans</w:t>
      </w:r>
      <w:r>
        <w:t xml:space="preserve"> (Lenth et al. 2019).</w:t>
      </w:r>
    </w:p>
    <w:p w:rsidR="009E1F80" w:rsidRDefault="007A1D4B">
      <w:pPr>
        <w:pStyle w:val="BodyText"/>
      </w:pPr>
      <w:r>
        <w:t>Means are given ± 1 standard deviation unless otherwise noted. All analyses were conducted in the R (version 3.1.2) statistical environment (R Development Core Team 2013).</w:t>
      </w:r>
    </w:p>
    <w:p w:rsidR="009E1F80" w:rsidRDefault="007A1D4B">
      <w:pPr>
        <w:pStyle w:val="Heading1"/>
      </w:pPr>
      <w:bookmarkStart w:id="16" w:name="results"/>
      <w:r>
        <w:t>Results</w:t>
      </w:r>
      <w:bookmarkEnd w:id="16"/>
    </w:p>
    <w:p w:rsidR="009E1F80" w:rsidRDefault="007A1D4B">
      <w:pPr>
        <w:pStyle w:val="Heading2"/>
      </w:pPr>
      <w:bookmarkStart w:id="17" w:name="phenotypes-of-experimental-crickets"/>
      <w:r>
        <w:t>Phenoty</w:t>
      </w:r>
      <w:r>
        <w:t>pes of experimental crickets</w:t>
      </w:r>
      <w:bookmarkEnd w:id="17"/>
    </w:p>
    <w:p w:rsidR="009E1F80" w:rsidRDefault="007A1D4B">
      <w:pPr>
        <w:pStyle w:val="FirstParagraph"/>
      </w:pPr>
      <w:r>
        <w:t>As expected, the age (number of days post-eclosion) of experimental crickets did not differ between the sexes or treatments (sex: estimate ± se = -0.02 ± 0.082, z =-0.27, df = 1, 158, p = 0.78; treatment: estimate ± se = 0.03 ±</w:t>
      </w:r>
      <w:r>
        <w:t xml:space="preserve"> 0.09, z =0.32, df = 1, 158, p = 0.75; sex x treatment interaction: estimate ± se = -0.01 ± 0.11, z = -0.049, df = 1, 158, p = 0.96) (Table 1).</w:t>
      </w:r>
    </w:p>
    <w:p w:rsidR="009E1F80" w:rsidRDefault="007A1D4B">
      <w:pPr>
        <w:pStyle w:val="BodyText"/>
      </w:pPr>
      <w:r>
        <w:t>PBS- and LPS-injected males did not differ in their average pronotum length (estimate ± se = -1.22 ± 0.91, t=-1.</w:t>
      </w:r>
      <w:r>
        <w:t>34, df = 1, 99, p = 0.18) or average pre-trial mass (estimate ± se = -0.04 ± 0.031, t = -1.4, df = 1, 99, p = 0.16) (Table 1). In contrast, saline-injected females were, by chance, significantly larger, on average, than LPS-injected females (pronotum lengt</w:t>
      </w:r>
      <w:r>
        <w:t>h: estimate ± se = 3.28 ± 1.26, t=2.59, df = 1, 59, p = 0.012; pre-trial mass: estimate ± se = 0.14 ± 0.047, t=2.9, df = 1, 59, p = 0.005) (Table 1).</w:t>
      </w:r>
    </w:p>
    <w:p w:rsidR="009E1F80" w:rsidRDefault="007A1D4B">
      <w:pPr>
        <w:pStyle w:val="BodyText"/>
      </w:pPr>
      <w:r>
        <w:t>A heterogeneity of slopes test showed no significant three- (sex x treatment x pre-trial mass on post-tria</w:t>
      </w:r>
      <w:r>
        <w:t xml:space="preserve">l mass: estimate ± se = 0.01 ± 0.07, t = 0.16, df = 1, 154, p = 0.87) or two-way (sex x treatment: estimate ± se = -0.02 ± 0.014, t = -1.4, df = 1, 155, p = 0.16; pre-trial mass x treatment: estimate ± se = -0.07 ± 0.035, t = -1.9, df = 1, 155, p = 0.063; </w:t>
      </w:r>
      <w:r>
        <w:t>pre-trial mass x sex: estimate ± se = 0.07 ± 0.035, t = 1.9, df = 1, 155, p = 0.053) interactions; we therefore removed all interaction terms and performed an ANCOVA that statistically controlled for initial body mass. We found no effect of sex (ANCOVA: es</w:t>
      </w:r>
      <w:r>
        <w:t>timate ± se = 0.01 ± 0.01, t = 1.00, df = 1, 158, p = 0.32) or treatment (estimate ± se = 0.00 ± 0.0057, t = -0.68, df = 1, 158, p = 0.5) on mass gain but, not surprisingly, pre- and post-trial mass were significantly correlated (estimate ± se = 1.01 ± 0.0</w:t>
      </w:r>
      <w:r>
        <w:t>2, t=59.64, df = 1, 158, p &lt; 0.0001) (Table 1).</w:t>
      </w:r>
    </w:p>
    <w:p w:rsidR="009E1F80" w:rsidRDefault="007A1D4B">
      <w:pPr>
        <w:pStyle w:val="Heading2"/>
      </w:pPr>
      <w:bookmarkStart w:id="18" w:name="X8060c19bf2f54b53d5a5ea0c73d2e5b54ab0d4f"/>
      <w:r>
        <w:t>Effect of sex and treatment on behaviours</w:t>
      </w:r>
      <w:bookmarkEnd w:id="18"/>
    </w:p>
    <w:p w:rsidR="009E1F80" w:rsidRDefault="007A1D4B">
      <w:pPr>
        <w:pStyle w:val="FirstParagraph"/>
      </w:pPr>
      <w:r>
        <w:t>Contrary to prediction, we found very little effect of sex, treatment, or their interaction on any of our five recorded behaviours (Table 2). We found only that males</w:t>
      </w:r>
      <w:r>
        <w:t xml:space="preserve"> visited shelters significantly less frequently, on average, than females (Table 3).</w:t>
      </w:r>
    </w:p>
    <w:p w:rsidR="009E1F80" w:rsidRDefault="007A1D4B">
      <w:pPr>
        <w:pStyle w:val="Heading2"/>
      </w:pPr>
      <w:bookmarkStart w:id="19" w:name="correlations-between-behaviours"/>
      <w:r>
        <w:t>Correlations between behaviours</w:t>
      </w:r>
      <w:bookmarkEnd w:id="19"/>
    </w:p>
    <w:p w:rsidR="009E1F80" w:rsidRDefault="007A1D4B">
      <w:pPr>
        <w:pStyle w:val="FirstParagraph"/>
      </w:pPr>
      <w:r>
        <w:t>PBS-injected females and LPS-injected males exhibited similar phenotypic behavioural correlations. We found that the time spent in a shelte</w:t>
      </w:r>
      <w:r>
        <w:t>r by crickets positively correlated with the frequency of shelter visits in saline-injected females (</w:t>
      </w:r>
      <w:r>
        <w:rPr>
          <w:i/>
        </w:rPr>
        <w:t>r</w:t>
      </w:r>
      <w:r>
        <w:t xml:space="preserve"> = 0.57, p &lt; 0.001) and LPS-injected </w:t>
      </w:r>
      <w:r>
        <w:lastRenderedPageBreak/>
        <w:t>males (</w:t>
      </w:r>
      <w:r>
        <w:rPr>
          <w:i/>
        </w:rPr>
        <w:t>r</w:t>
      </w:r>
      <w:r>
        <w:t xml:space="preserve"> = 0.54, p &lt; 0.001) (Table 4). Similarly, distance traveled positively correlated with average walking speed </w:t>
      </w:r>
      <w:r>
        <w:t>in saline-injected females (</w:t>
      </w:r>
      <w:r>
        <w:rPr>
          <w:i/>
        </w:rPr>
        <w:t>r</w:t>
      </w:r>
      <w:r>
        <w:t xml:space="preserve"> = 0.87, p &lt; 0.001) and LPS-injected males (</w:t>
      </w:r>
      <w:r>
        <w:rPr>
          <w:i/>
        </w:rPr>
        <w:t>r</w:t>
      </w:r>
      <w:r>
        <w:t xml:space="preserve"> = 0.89, p &lt; 0.001) (Table 4).</w:t>
      </w:r>
    </w:p>
    <w:p w:rsidR="009E1F80" w:rsidRDefault="007A1D4B">
      <w:pPr>
        <w:pStyle w:val="Heading2"/>
      </w:pPr>
      <w:bookmarkStart w:id="20" w:name="time-on-diets-and-water"/>
      <w:r>
        <w:t>Time on diets and water</w:t>
      </w:r>
      <w:bookmarkEnd w:id="20"/>
    </w:p>
    <w:p w:rsidR="009E1F80" w:rsidRDefault="007A1D4B">
      <w:pPr>
        <w:pStyle w:val="FirstParagraph"/>
      </w:pPr>
      <w:r>
        <w:t>Significantly more crickets sampled a diet and water at least once (n=152) compared with never sampling a diet or water (n=6)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274.09, df = 1, p &lt; 0.001; Table 5). Approximately half of all crickets (53%) visited each of the three diets and water during their trial (Table 5) and these crickets traveled significantly further during a trial than those visiting three or fewer d</w:t>
      </w:r>
      <w:r>
        <w:t>ishes (F = 12.98, df = 1, 159, p &lt; 0.001). We therefore restricted our analyses of time on each diet and water to only those individuals that sampled all four dishes during a trial (n = 86) in order to remove any bias due to crickets not aware of other ava</w:t>
      </w:r>
      <w:r>
        <w:t>ilable options.</w:t>
      </w:r>
    </w:p>
    <w:p w:rsidR="009E1F80" w:rsidRDefault="007A1D4B">
      <w:pPr>
        <w:pStyle w:val="BodyText"/>
      </w:pPr>
      <w:r>
        <w:t>For those crickets that visited a dish at least once, separate ordinary least-squares linear regressions for each diet and water revealed that the time spent on a dish was significantly positively correlated with visitation frequency (carbo</w:t>
      </w:r>
      <w:r>
        <w:t>hydrate: estimate = 10.25±1.37, F = 7.49, p &lt; 0.001; fat: estimate =3.85±0.81, F = 4.79, p &lt; 0.001; protein: estimate =32.10±3.17, F = 10.14, p &lt; 0.001; water: estimate = 4.85±2.24, F = 2.16, p = 0.033).</w:t>
      </w:r>
    </w:p>
    <w:p w:rsidR="009E1F80" w:rsidRDefault="007A1D4B">
      <w:pPr>
        <w:pStyle w:val="BodyText"/>
      </w:pPr>
      <w:r>
        <w:t>For those crickets that sampled all four dishes duri</w:t>
      </w:r>
      <w:r>
        <w:t>ng a trial, a reduced linear mixed model (cricket ID entered as a random effect) with the non-significant three-way interaction removed was not a significantly better fit to the data than a full model (</w:t>
      </w:r>
      <m:oMath>
        <m:r>
          <w:rPr>
            <w:rFonts w:ascii="Cambria Math" w:hAnsi="Cambria Math"/>
          </w:rPr>
          <m:t>AI</m:t>
        </m:r>
        <m:sSub>
          <m:sSubPr>
            <m:ctrlPr>
              <w:rPr>
                <w:rFonts w:ascii="Cambria Math" w:hAnsi="Cambria Math"/>
              </w:rPr>
            </m:ctrlPr>
          </m:sSubPr>
          <m:e>
            <m:r>
              <w:rPr>
                <w:rFonts w:ascii="Cambria Math" w:hAnsi="Cambria Math"/>
              </w:rPr>
              <m:t>C</m:t>
            </m:r>
          </m:e>
          <m:sub>
            <m:r>
              <w:rPr>
                <w:rFonts w:ascii="Cambria Math" w:hAnsi="Cambria Math"/>
              </w:rPr>
              <m:t>full</m:t>
            </m:r>
          </m:sub>
        </m:sSub>
      </m:oMath>
      <w:r>
        <w:t xml:space="preserve"> = 3,853, </w:t>
      </w:r>
      <m:oMath>
        <m:r>
          <w:rPr>
            <w:rFonts w:ascii="Cambria Math" w:hAnsi="Cambria Math"/>
          </w:rPr>
          <m:t>AI</m:t>
        </m:r>
        <m:sSub>
          <m:sSubPr>
            <m:ctrlPr>
              <w:rPr>
                <w:rFonts w:ascii="Cambria Math" w:hAnsi="Cambria Math"/>
              </w:rPr>
            </m:ctrlPr>
          </m:sSubPr>
          <m:e>
            <m:r>
              <w:rPr>
                <w:rFonts w:ascii="Cambria Math" w:hAnsi="Cambria Math"/>
              </w:rPr>
              <m:t>C</m:t>
            </m:r>
          </m:e>
          <m:sub>
            <m:r>
              <w:rPr>
                <w:rFonts w:ascii="Cambria Math" w:hAnsi="Cambria Math"/>
              </w:rPr>
              <m:t>reduced</m:t>
            </m:r>
          </m:sub>
        </m:sSub>
      </m:oMath>
      <w:r>
        <w:t xml:space="preserve"> = 3,850;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2.31, df = 3, p = 0.51). The full model revealed a significant sex x diet interaction (</w:t>
      </w:r>
      <m:oMath>
        <m:sSup>
          <m:sSupPr>
            <m:ctrlPr>
              <w:rPr>
                <w:rFonts w:ascii="Cambria Math" w:hAnsi="Cambria Math"/>
              </w:rPr>
            </m:ctrlPr>
          </m:sSupPr>
          <m:e>
            <m:r>
              <w:rPr>
                <w:rFonts w:ascii="Cambria Math" w:hAnsi="Cambria Math"/>
              </w:rPr>
              <m:t>χ</m:t>
            </m:r>
          </m:e>
          <m:sup>
            <m:r>
              <w:rPr>
                <w:rFonts w:ascii="Cambria Math" w:hAnsi="Cambria Math"/>
              </w:rPr>
              <m:t>2</m:t>
            </m:r>
          </m:sup>
        </m:sSup>
      </m:oMath>
      <w:r>
        <w:t>=10.43, df=3, p = 0.015), which suggests that LPS-injection caused a significantly greater reduction in carbohydrate consumption in males than in females (Figur</w:t>
      </w:r>
      <w:r>
        <w:t>e 1).</w:t>
      </w:r>
    </w:p>
    <w:p w:rsidR="009E1F80" w:rsidRDefault="007A1D4B">
      <w:pPr>
        <w:pStyle w:val="Heading1"/>
      </w:pPr>
      <w:bookmarkStart w:id="21" w:name="discussion"/>
      <w:r>
        <w:t>Discussion</w:t>
      </w:r>
      <w:bookmarkEnd w:id="21"/>
    </w:p>
    <w:p w:rsidR="009E1F80" w:rsidRDefault="007A1D4B">
      <w:pPr>
        <w:pStyle w:val="FirstParagraph"/>
      </w:pPr>
      <w:r>
        <w:t xml:space="preserve">Sick animals are predicted to be more lethargic and risk-averse (i.e. use shelters more often) compared with their healthy counterparts (Hart 1988; Johnson 2002). Our experimental study on sickness behaviour in </w:t>
      </w:r>
      <w:r>
        <w:rPr>
          <w:i/>
        </w:rPr>
        <w:t>Gryllus firmus</w:t>
      </w:r>
      <w:r>
        <w:t xml:space="preserve"> field cricket</w:t>
      </w:r>
      <w:r>
        <w:t>s found little effect of sex, treatment or their interaction on distance traveled, speed, activity, or duration of shelter use. We found only that males visited shelters significantly less frequently than females. This result is surprising since the burrow</w:t>
      </w:r>
      <w:r>
        <w:t xml:space="preserve"> tends to play a significantly greater role in male versus female fitness in terms of mate attraction and mating success (Alexander 1961). Our results therefore suggest that </w:t>
      </w:r>
      <w:r>
        <w:rPr>
          <w:i/>
        </w:rPr>
        <w:t>G. firmus</w:t>
      </w:r>
      <w:r>
        <w:t xml:space="preserve"> crickets exhibit none of the classic sickness behaviours observed in oth</w:t>
      </w:r>
      <w:r>
        <w:t>er - particularly vertebrate - taxa. Moreover, our measured behaviours also failed to intercorrelate phenotypically within sex or treatment suggesting that there is little consistency among these behaviours (e.g. more active individuals do not travel furth</w:t>
      </w:r>
      <w:r>
        <w:t>er; slower individuals do not use shelters more).</w:t>
      </w:r>
    </w:p>
    <w:p w:rsidR="009E1F80" w:rsidRDefault="007A1D4B">
      <w:pPr>
        <w:pStyle w:val="BodyText"/>
      </w:pPr>
      <w:r>
        <w:t xml:space="preserve">We observed no reduction in activity-related behaviours by immune-challenged individuals, which is similar to Sullivan et al.’s (2016) finding in </w:t>
      </w:r>
      <w:r>
        <w:rPr>
          <w:i/>
        </w:rPr>
        <w:t>G. texensis</w:t>
      </w:r>
      <w:r>
        <w:t>. This general lack of behavioural modification b</w:t>
      </w:r>
      <w:r>
        <w:t xml:space="preserve">y sick crickets could be due to the lack of physiological fever in crickets. Mammals are generally expected to reduce activity when infected to conserve their energy for physiological fever (Dantzer and Kelley 2007). However, even in mammals in which </w:t>
      </w:r>
      <w:r>
        <w:lastRenderedPageBreak/>
        <w:t xml:space="preserve">heat </w:t>
      </w:r>
      <w:r>
        <w:t>conservation is not an issue (i.e. they live at lower latitudes), infected individuals are not expected to reduce activity.</w:t>
      </w:r>
    </w:p>
    <w:p w:rsidR="009E1F80" w:rsidRDefault="007A1D4B">
      <w:pPr>
        <w:pStyle w:val="BodyText"/>
      </w:pPr>
      <w:r>
        <w:t xml:space="preserve">In line with our findings, Sullivan et al. (2016) found that immune-challenged </w:t>
      </w:r>
      <w:r>
        <w:rPr>
          <w:i/>
        </w:rPr>
        <w:t>G. texensis</w:t>
      </w:r>
      <w:r>
        <w:t xml:space="preserve"> field crickets did not increase shelter u</w:t>
      </w:r>
      <w:r>
        <w:t>se compared with control individuals. These authors offered a number of alternative explanations for these findings. One possibility is that immune-challenged crickets remained outside of shelters to seek reproductive opportunities. This is possible becaus</w:t>
      </w:r>
      <w:r>
        <w:t xml:space="preserve">e animals will often increase investment in reproduction as their prospects for survival decrease, such as when immune-challenged (i.e. terminal investment sensu Clutton-Brock 1984). That sexually attractive male </w:t>
      </w:r>
      <w:r>
        <w:rPr>
          <w:i/>
        </w:rPr>
        <w:t>G. texensis</w:t>
      </w:r>
      <w:r>
        <w:t xml:space="preserve"> crickets increase their calling</w:t>
      </w:r>
      <w:r>
        <w:t xml:space="preserve"> effort when immune-challenged (Kelly et al. 2015) supports this hypothesis; however, other empirical evidence suggests that reproductive behaviour is generally diminished in immune-challenged crickets (Jacot et al. 2004; Adamo et al. 2015).</w:t>
      </w:r>
    </w:p>
    <w:p w:rsidR="009E1F80" w:rsidRDefault="007A1D4B">
      <w:pPr>
        <w:pStyle w:val="BodyText"/>
      </w:pPr>
      <w:r>
        <w:t>Perhaps sick c</w:t>
      </w:r>
      <w:r>
        <w:t>rickets in our study spent as much time out of shelters as control individuals because they were searching for food to fuel their immune-response. This is possible as we did not find any differences in feeding behaviour between treatment and control cricke</w:t>
      </w:r>
      <w:r>
        <w:t>ts and so sick crickets might have matched the feeding rate of controls by forgoing shelter use. Sullivan et al. (2016) hypothesized that perhaps the immune-challenged crickets in their study remained outside of shelters to search for particular types of f</w:t>
      </w:r>
      <w:r>
        <w:t>ood rather than food in general. They offered this as a possible explanation because insects can alter their food preferences when sick (Ponton et al. 2013) in order to self-medicate with specific plants (Singer et al. 2014). Although crickets have been sh</w:t>
      </w:r>
      <w:r>
        <w:t>own to avoid lipid-rich foods when infected (Adamo et al. 2010), we found no evidence of fat-avoidance in this study.</w:t>
      </w:r>
    </w:p>
    <w:p w:rsidR="009E1F80" w:rsidRDefault="007A1D4B">
      <w:pPr>
        <w:pStyle w:val="BodyText"/>
      </w:pPr>
      <w:r>
        <w:t>We did not observe feeding cessation or diet selectivity by sick individuals as predicted. We found that independent of sex or immune-trea</w:t>
      </w:r>
      <w:r>
        <w:t>tment, crickets spent similar amounts of time on the protein, fat and carbohydrate diets. This finding contradicts recent studies on insects in which immune-challenged individuals were selective in their diet choice. Povey et al. (2009) and Lee et al. (200</w:t>
      </w:r>
      <w:r>
        <w:t>6) showed that when caterpillars (</w:t>
      </w:r>
      <w:r>
        <w:rPr>
          <w:i/>
        </w:rPr>
        <w:t>Spodoptera exempta</w:t>
      </w:r>
      <w:r>
        <w:t xml:space="preserve"> and </w:t>
      </w:r>
      <w:r>
        <w:rPr>
          <w:i/>
        </w:rPr>
        <w:t>S. littoralis</w:t>
      </w:r>
      <w:r>
        <w:t xml:space="preserve">, respectively) were immune-challenged with </w:t>
      </w:r>
      <w:r>
        <w:rPr>
          <w:i/>
        </w:rPr>
        <w:t>Bacillus subtilis</w:t>
      </w:r>
      <w:r>
        <w:t xml:space="preserve"> and nucleopolyhedrovirus, respectively, were allowed to self-select their diet, they chose to eat diets that were higher in </w:t>
      </w:r>
      <w:r>
        <w:t xml:space="preserve">protein presumably because the intake of protein will reduce the protein costs of mounting an immune response. In contrast, Mason et al. (2014) showed that immune-challenged </w:t>
      </w:r>
      <w:r>
        <w:rPr>
          <w:i/>
        </w:rPr>
        <w:t>Grammia incorrupta</w:t>
      </w:r>
      <w:r>
        <w:t xml:space="preserve"> caterpillars avoided protein-rich foods in favour of carbohydra</w:t>
      </w:r>
      <w:r>
        <w:t>te-rich ones, which apparently improved melanization responses.</w:t>
      </w:r>
    </w:p>
    <w:p w:rsidR="009E1F80" w:rsidRDefault="007A1D4B">
      <w:pPr>
        <w:pStyle w:val="BodyText"/>
      </w:pPr>
      <w:r>
        <w:t>Our data also suggest that longer durations on diets were achieved by frequent visitation; it is rare that a cricket visits a diet or water once and remains for a long period of time. Kelly (2</w:t>
      </w:r>
      <w:r>
        <w:t>011) also observed a lack of feeding cessation by females in another orthopteran species, the Wellington tree weta (</w:t>
      </w:r>
      <w:r>
        <w:rPr>
          <w:i/>
        </w:rPr>
        <w:t>Hemideina crassidens</w:t>
      </w:r>
      <w:r>
        <w:t xml:space="preserve">), that were repeatedly immune-challenged with LPS. However, Sullivan et al. (2016) reported that immune-challenged </w:t>
      </w:r>
      <w:r>
        <w:rPr>
          <w:i/>
        </w:rPr>
        <w:t>G. t</w:t>
      </w:r>
      <w:r>
        <w:rPr>
          <w:i/>
        </w:rPr>
        <w:t>exensis</w:t>
      </w:r>
      <w:r>
        <w:t xml:space="preserve"> field crickets ate significantly less than control crickets. Although crickets in our study appeared to consume food whilst on the diet, we cannot rule out the possibility that acquisition rates were not constant among the different diets or among </w:t>
      </w:r>
      <w:r>
        <w:t>individuals. Thus, some individuals might have consumed more food than another cricket despite being on a diet for the same period of time.</w:t>
      </w:r>
    </w:p>
    <w:p w:rsidR="009E1F80" w:rsidRDefault="007A1D4B">
      <w:pPr>
        <w:pStyle w:val="BodyText"/>
      </w:pPr>
      <w:r>
        <w:lastRenderedPageBreak/>
        <w:t>We expected immune-challenged crickets to lose mass during a trial because sick individuals not only expend considerable energy fighting an immune challenge (e.g. Kelly 2011; Jacot et al. 2004; Bashir-Tanoli and Tinsley 2014) but they will also cease feedi</w:t>
      </w:r>
      <w:r>
        <w:t>ng, or at least significantly reduce their acquisition of food. Surprisingly, immune-challenged crickets in our study did not lose mass during trials. Our trials were 3 h in duration, which might have been too small of a widow to register mass loss, partic</w:t>
      </w:r>
      <w:r>
        <w:t>ularly if crickets continued to feed. For example, Jacot et al. (2004) found that LPS-administered crickets lost significant body mass compared with controls, but this loss was recorded three days after injection. However, Shoemaker and Adamo (2007), in co</w:t>
      </w:r>
      <w:r>
        <w:t>ntrast, also did not observe a significant loss of body mass in female crickets 14 d after immune system activation. Perhaps mass loss in crickets is best observed a few days after injections rather than within hours or after two weeks.</w:t>
      </w:r>
    </w:p>
    <w:p w:rsidR="009E1F80" w:rsidRDefault="007A1D4B">
      <w:pPr>
        <w:pStyle w:val="BodyText"/>
      </w:pPr>
      <w:r>
        <w:t xml:space="preserve">Taken together our </w:t>
      </w:r>
      <w:r>
        <w:t>results show little support for sickness behaviour in crickets. Our results are largely consistent with studies on another cricket species (Sullivan et al. 2016) but not with respect to other insects (e.g. Bos et al. 2012; Kazlauskas et al. 2016). Sullivan</w:t>
      </w:r>
      <w:r>
        <w:t xml:space="preserve"> et al. (2016) noted that a lack of sickness behaviour in a cricket is in line with the hypothesis that because ectotherms lack physiological fever there is little adaptive value in them conserving energy by reducing activity or increasing shelter use as o</w:t>
      </w:r>
      <w:r>
        <w:t>bserved in endotherms. Further studies within a nutritional geometric framework (Raubenheimer and Simpson 2009) should elucidate whether sick crickets shift their dietary preferences to facilitate immunological responses.</w:t>
      </w:r>
    </w:p>
    <w:p w:rsidR="009E1F80" w:rsidRDefault="007A1D4B">
      <w:pPr>
        <w:pStyle w:val="Heading1"/>
      </w:pPr>
      <w:bookmarkStart w:id="22" w:name="acknowledgements"/>
      <w:r>
        <w:t>Acknowledgements</w:t>
      </w:r>
      <w:bookmarkEnd w:id="22"/>
    </w:p>
    <w:p w:rsidR="009E1F80" w:rsidRDefault="007A1D4B">
      <w:pPr>
        <w:pStyle w:val="FirstParagraph"/>
      </w:pPr>
      <w:r>
        <w:t>This research was funded by a Natural Sciences and Engineering Research Council of Canada (NSERC) Discovery Grant to CDK and an NSERC Undergraduate Student research Award to JML.</w:t>
      </w:r>
    </w:p>
    <w:p w:rsidR="009E1F80" w:rsidRDefault="007A1D4B">
      <w:pPr>
        <w:pStyle w:val="Heading1"/>
      </w:pPr>
      <w:bookmarkStart w:id="23" w:name="conflict-of-interest"/>
      <w:r>
        <w:t>Conflict of Interest</w:t>
      </w:r>
      <w:bookmarkEnd w:id="23"/>
    </w:p>
    <w:p w:rsidR="009E1F80" w:rsidRDefault="007A1D4B">
      <w:pPr>
        <w:pStyle w:val="FirstParagraph"/>
      </w:pPr>
      <w:r>
        <w:t>The authors declare that they have no competing interest</w:t>
      </w:r>
      <w:r>
        <w:t>s.</w:t>
      </w:r>
    </w:p>
    <w:p w:rsidR="009E1F80" w:rsidRDefault="007A1D4B">
      <w:pPr>
        <w:pStyle w:val="Heading1"/>
      </w:pPr>
      <w:bookmarkStart w:id="24" w:name="data-accessibility-statement"/>
      <w:r>
        <w:t>Data Accessibility Statement</w:t>
      </w:r>
      <w:bookmarkEnd w:id="24"/>
    </w:p>
    <w:p w:rsidR="009E1F80" w:rsidRDefault="007A1D4B">
      <w:pPr>
        <w:pStyle w:val="FirstParagraph"/>
      </w:pPr>
      <w:r>
        <w:t>Data and code are archived and publicly accessible on the Open Science Framework (DOI: 10.17605/OSF.IO/H278P).</w:t>
      </w:r>
    </w:p>
    <w:p w:rsidR="009E1F80" w:rsidRDefault="007A1D4B">
      <w:pPr>
        <w:pStyle w:val="Heading1"/>
      </w:pPr>
      <w:bookmarkStart w:id="25" w:name="references"/>
      <w:r>
        <w:t>References</w:t>
      </w:r>
      <w:bookmarkEnd w:id="25"/>
    </w:p>
    <w:p w:rsidR="009E1F80" w:rsidRDefault="007A1D4B">
      <w:pPr>
        <w:pStyle w:val="Bibliography"/>
      </w:pPr>
      <w:bookmarkStart w:id="26" w:name="ref-adamo2008"/>
      <w:bookmarkStart w:id="27" w:name="refs"/>
      <w:r>
        <w:t xml:space="preserve">Adamo S (2008) Bidirectional connections between the immune system and the nervous system in insects. </w:t>
      </w:r>
      <w:r>
        <w:t>Insect immunology 129–149</w:t>
      </w:r>
    </w:p>
    <w:p w:rsidR="009E1F80" w:rsidRDefault="007A1D4B">
      <w:pPr>
        <w:pStyle w:val="Bibliography"/>
      </w:pPr>
      <w:bookmarkStart w:id="28" w:name="ref-adamo2012"/>
      <w:bookmarkEnd w:id="26"/>
      <w:r>
        <w:t>Adamo S (2012) The importance of physiology for ecoimmunology. In: Demas G, Nelson R (eds) Ecoimmunology. Oxford University Press, Oxford, pp 413–439</w:t>
      </w:r>
    </w:p>
    <w:p w:rsidR="009E1F80" w:rsidRDefault="007A1D4B">
      <w:pPr>
        <w:pStyle w:val="Bibliography"/>
      </w:pPr>
      <w:bookmarkStart w:id="29" w:name="ref-adamo1999"/>
      <w:bookmarkEnd w:id="28"/>
      <w:r>
        <w:lastRenderedPageBreak/>
        <w:t xml:space="preserve">Adamo SA (1999) Evidence for adaptive changes in egg laying in crickets exposed </w:t>
      </w:r>
      <w:r>
        <w:t>to bacteria and parasites. Anim Behav 57:117–124</w:t>
      </w:r>
    </w:p>
    <w:p w:rsidR="009E1F80" w:rsidRDefault="007A1D4B">
      <w:pPr>
        <w:pStyle w:val="Bibliography"/>
      </w:pPr>
      <w:bookmarkStart w:id="30" w:name="ref-adamo2010"/>
      <w:bookmarkEnd w:id="29"/>
      <w:r>
        <w:t>Adamo SA, Bartlett A, Le J et al (2010) Illness-induced anorexia may reduce trade-offs between digestion and immune function. Anim Behav 79:3–10</w:t>
      </w:r>
    </w:p>
    <w:p w:rsidR="009E1F80" w:rsidRDefault="007A1D4B">
      <w:pPr>
        <w:pStyle w:val="Bibliography"/>
      </w:pPr>
      <w:bookmarkStart w:id="31" w:name="ref-adamo2015"/>
      <w:bookmarkEnd w:id="30"/>
      <w:r>
        <w:t>Adamo SA, Gomez-Juliano A, LeDue EE et al (2015) Effect of imm</w:t>
      </w:r>
      <w:r>
        <w:t xml:space="preserve">une challenge on aggressive behaviour: How to fight two battles at once. Anim Behav 105:153–161. </w:t>
      </w:r>
      <w:hyperlink r:id="rId8">
        <w:r>
          <w:rPr>
            <w:rStyle w:val="Hyperlink"/>
          </w:rPr>
          <w:t xml:space="preserve">https://doi.org/10.1016/j.anbehav.2015.04.018 </w:t>
        </w:r>
      </w:hyperlink>
    </w:p>
    <w:p w:rsidR="009E1F80" w:rsidRDefault="007A1D4B">
      <w:pPr>
        <w:pStyle w:val="Bibliography"/>
      </w:pPr>
      <w:bookmarkStart w:id="32" w:name="ref-adamo2007"/>
      <w:bookmarkEnd w:id="31"/>
      <w:r>
        <w:t>Adamo S, Fidler T, Forestell C (2007) Illnes</w:t>
      </w:r>
      <w:r>
        <w:t xml:space="preserve">s-induced anorexia and its possible function in the caterpillar, </w:t>
      </w:r>
      <w:r>
        <w:rPr>
          <w:i/>
        </w:rPr>
        <w:t>Manduca sexta</w:t>
      </w:r>
      <w:r>
        <w:t xml:space="preserve">. Brain Behav Immun 21:292–300. </w:t>
      </w:r>
      <w:hyperlink r:id="rId9">
        <w:r>
          <w:rPr>
            <w:rStyle w:val="Hyperlink"/>
          </w:rPr>
          <w:t xml:space="preserve">https://doi.org/10.1016/j.bbi.2006.10.006 </w:t>
        </w:r>
      </w:hyperlink>
    </w:p>
    <w:p w:rsidR="009E1F80" w:rsidRDefault="007A1D4B">
      <w:pPr>
        <w:pStyle w:val="Bibliography"/>
      </w:pPr>
      <w:bookmarkStart w:id="33" w:name="ref-ahmed2002"/>
      <w:bookmarkEnd w:id="32"/>
      <w:r>
        <w:t>Ahmed A, Baggott S, Maingon R, Hurd H (</w:t>
      </w:r>
      <w:r>
        <w:t xml:space="preserve">2002) The costs of mounting an immune response are reflected in the reproductive fitness of the mosquito </w:t>
      </w:r>
      <w:r>
        <w:rPr>
          <w:i/>
        </w:rPr>
        <w:t>Anopheles gambiae</w:t>
      </w:r>
      <w:r>
        <w:t>. Oikos 97:371–377</w:t>
      </w:r>
    </w:p>
    <w:p w:rsidR="009E1F80" w:rsidRDefault="007A1D4B">
      <w:pPr>
        <w:pStyle w:val="Bibliography"/>
      </w:pPr>
      <w:bookmarkStart w:id="34" w:name="ref-alexander1961"/>
      <w:bookmarkEnd w:id="33"/>
      <w:r>
        <w:t xml:space="preserve">Alexander RD (1961) Aggressiveness, territoriality, and sexual behavior in field crickets (orthoptera: Gryllidae). </w:t>
      </w:r>
      <w:r>
        <w:t xml:space="preserve">Behaviour 17:130–223. </w:t>
      </w:r>
      <w:hyperlink r:id="rId10">
        <w:r>
          <w:rPr>
            <w:rStyle w:val="Hyperlink"/>
          </w:rPr>
          <w:t xml:space="preserve">https://doi.org/10.2307/4532972 </w:t>
        </w:r>
      </w:hyperlink>
    </w:p>
    <w:p w:rsidR="009E1F80" w:rsidRDefault="007A1D4B">
      <w:pPr>
        <w:pStyle w:val="Bibliography"/>
      </w:pPr>
      <w:bookmarkStart w:id="35" w:name="ref-ashley2012"/>
      <w:bookmarkEnd w:id="34"/>
      <w:r>
        <w:t xml:space="preserve">Ashley N, Wingfield J (2012) Sickness behavior in vertebrates: Allostasis, life-history modulation, and hormonal regulation. In: Demas G, Nelson R </w:t>
      </w:r>
      <w:r>
        <w:t>(eds) Ecoimmunology. Oxford University Press, Oxford, pp 45–91</w:t>
      </w:r>
    </w:p>
    <w:p w:rsidR="009E1F80" w:rsidRDefault="007A1D4B">
      <w:pPr>
        <w:pStyle w:val="Bibliography"/>
      </w:pPr>
      <w:bookmarkStart w:id="36" w:name="ref-aubert1995"/>
      <w:bookmarkEnd w:id="35"/>
      <w:r>
        <w:t>Aubert A, Goodall G, Dantzer R (1995) Compared effects of cold ambient temperature and cytokines on macronutrient intake in rats. Physiol Behav 57:869–873</w:t>
      </w:r>
    </w:p>
    <w:p w:rsidR="009E1F80" w:rsidRDefault="007A1D4B">
      <w:pPr>
        <w:pStyle w:val="Bibliography"/>
      </w:pPr>
      <w:bookmarkStart w:id="37" w:name="ref-ayres2009"/>
      <w:bookmarkEnd w:id="36"/>
      <w:r>
        <w:t>Ayres JS, Schneider DS (2009) The role</w:t>
      </w:r>
      <w:r>
        <w:t xml:space="preserve"> of anorexia in resistance and tolerance to infections in </w:t>
      </w:r>
      <w:r>
        <w:rPr>
          <w:i/>
        </w:rPr>
        <w:t>Drosophila</w:t>
      </w:r>
      <w:r>
        <w:t xml:space="preserve">. PLoS biology 7:e1000150. </w:t>
      </w:r>
      <w:hyperlink r:id="rId11">
        <w:r>
          <w:rPr>
            <w:rStyle w:val="Hyperlink"/>
          </w:rPr>
          <w:t xml:space="preserve">https://doi.org/10.1371/journal.pone.0004490 </w:t>
        </w:r>
      </w:hyperlink>
    </w:p>
    <w:p w:rsidR="009E1F80" w:rsidRDefault="007A1D4B">
      <w:pPr>
        <w:pStyle w:val="Bibliography"/>
      </w:pPr>
      <w:bookmarkStart w:id="38" w:name="ref-bashir-tanoli2014"/>
      <w:bookmarkEnd w:id="37"/>
      <w:r>
        <w:t>Bashir-Tanoli S, Tinsley MC (2014) Immune respon</w:t>
      </w:r>
      <w:r>
        <w:t xml:space="preserve">se costs are associated with changes in resource acquisition and not resource reallocation. Funct Ecol 28:1011–1019. </w:t>
      </w:r>
      <w:hyperlink r:id="rId12">
        <w:r>
          <w:rPr>
            <w:rStyle w:val="Hyperlink"/>
          </w:rPr>
          <w:t xml:space="preserve">https://doi.org/10.1111/1365-2435.12236 </w:t>
        </w:r>
      </w:hyperlink>
    </w:p>
    <w:p w:rsidR="009E1F80" w:rsidRDefault="007A1D4B">
      <w:pPr>
        <w:pStyle w:val="Bibliography"/>
      </w:pPr>
      <w:bookmarkStart w:id="39" w:name="ref-bilbo2002"/>
      <w:bookmarkEnd w:id="38"/>
      <w:r>
        <w:t>Bilbo SD, Drazen DL, Quan N et al (2</w:t>
      </w:r>
      <w:r>
        <w:t xml:space="preserve">002) Short day lengths attenuate the symptoms of infection in Siberian hamsters. Proc R Soc Lond, B 269:447–454. </w:t>
      </w:r>
      <w:hyperlink r:id="rId13">
        <w:r>
          <w:rPr>
            <w:rStyle w:val="Hyperlink"/>
          </w:rPr>
          <w:t xml:space="preserve">https://doi.org/10.1098/rspb.2001.1915 </w:t>
        </w:r>
      </w:hyperlink>
    </w:p>
    <w:p w:rsidR="009E1F80" w:rsidRDefault="007A1D4B">
      <w:pPr>
        <w:pStyle w:val="Bibliography"/>
      </w:pPr>
      <w:bookmarkStart w:id="40" w:name="ref-bos2012"/>
      <w:bookmarkEnd w:id="39"/>
      <w:r>
        <w:t>Bos N, Lefèvre T, Jensen A, d’Ettorre P (2</w:t>
      </w:r>
      <w:r>
        <w:t xml:space="preserve">012) Sick ants become unsociable. J Evol Biol 25:342–351. </w:t>
      </w:r>
      <w:hyperlink r:id="rId14">
        <w:r>
          <w:rPr>
            <w:rStyle w:val="Hyperlink"/>
          </w:rPr>
          <w:t xml:space="preserve">https://doi.org/10.1111/j.1420-9101.2011.02425.x </w:t>
        </w:r>
      </w:hyperlink>
    </w:p>
    <w:p w:rsidR="009E1F80" w:rsidRDefault="007A1D4B">
      <w:pPr>
        <w:pStyle w:val="Bibliography"/>
      </w:pPr>
      <w:bookmarkStart w:id="41" w:name="ref-carlton2014"/>
      <w:bookmarkEnd w:id="40"/>
      <w:r>
        <w:t>Carlton ED, Demas GE (2014) Leptin mediates seasonal variation in some but no</w:t>
      </w:r>
      <w:r>
        <w:t xml:space="preserve">t all symptoms of sickness in Siberian hamsters. Horm Behav 66:802–811. </w:t>
      </w:r>
      <w:hyperlink r:id="rId15">
        <w:r>
          <w:rPr>
            <w:rStyle w:val="Hyperlink"/>
          </w:rPr>
          <w:t xml:space="preserve">https://doi.org/10.1016/j.yhbeh.2014.11.003 </w:t>
        </w:r>
      </w:hyperlink>
    </w:p>
    <w:p w:rsidR="009E1F80" w:rsidRDefault="007A1D4B">
      <w:pPr>
        <w:pStyle w:val="Bibliography"/>
      </w:pPr>
      <w:bookmarkStart w:id="42" w:name="ref-charles2015"/>
      <w:bookmarkEnd w:id="41"/>
      <w:r>
        <w:t>Charles H, Killian K (2015) Response of the insect immune system to three</w:t>
      </w:r>
      <w:r>
        <w:t xml:space="preserve"> different immune challenges. J Insect Physiol 81:97–108. </w:t>
      </w:r>
      <w:hyperlink r:id="rId16">
        <w:r>
          <w:rPr>
            <w:rStyle w:val="Hyperlink"/>
          </w:rPr>
          <w:t xml:space="preserve">https://doi.org/10.1016/j.jinsphys.2015.07.005 </w:t>
        </w:r>
      </w:hyperlink>
    </w:p>
    <w:p w:rsidR="009E1F80" w:rsidRDefault="007A1D4B">
      <w:pPr>
        <w:pStyle w:val="Bibliography"/>
      </w:pPr>
      <w:bookmarkStart w:id="43" w:name="ref-clutton-brock1984"/>
      <w:bookmarkEnd w:id="42"/>
      <w:r>
        <w:t>Clutton-Brock TH (1984) Reproductive effort and terminal investment in iteroparou</w:t>
      </w:r>
      <w:r>
        <w:t>s animals. Am Nat 123:212–229</w:t>
      </w:r>
    </w:p>
    <w:p w:rsidR="009E1F80" w:rsidRDefault="007A1D4B">
      <w:pPr>
        <w:pStyle w:val="Bibliography"/>
      </w:pPr>
      <w:bookmarkStart w:id="44" w:name="ref-dantzer2004"/>
      <w:bookmarkEnd w:id="43"/>
      <w:r>
        <w:lastRenderedPageBreak/>
        <w:t xml:space="preserve">Dantzer R (2004) Cytokine-induced sickness behaviour: A neuroimmune response to activation of innate immunity. Eur J Pharmacol 500:399–411. </w:t>
      </w:r>
      <w:hyperlink r:id="rId17">
        <w:r>
          <w:rPr>
            <w:rStyle w:val="Hyperlink"/>
          </w:rPr>
          <w:t xml:space="preserve">https://doi.org/10.1016/j.ejphar.2004.07.040 </w:t>
        </w:r>
      </w:hyperlink>
    </w:p>
    <w:p w:rsidR="009E1F80" w:rsidRDefault="007A1D4B">
      <w:pPr>
        <w:pStyle w:val="Bibliography"/>
      </w:pPr>
      <w:bookmarkStart w:id="45" w:name="ref-dantzer2007"/>
      <w:bookmarkEnd w:id="44"/>
      <w:r>
        <w:t xml:space="preserve">Dantzer R, Kelley K (2007) Twenty years of research on cytokine-induced sickness behavior. Brain Behav Immun 21:153–160. </w:t>
      </w:r>
      <w:hyperlink r:id="rId18">
        <w:r>
          <w:rPr>
            <w:rStyle w:val="Hyperlink"/>
          </w:rPr>
          <w:t>https://doi.org/10.1016/j</w:t>
        </w:r>
        <w:r>
          <w:rPr>
            <w:rStyle w:val="Hyperlink"/>
          </w:rPr>
          <w:t xml:space="preserve">.bbi.2006.09.006 </w:t>
        </w:r>
      </w:hyperlink>
    </w:p>
    <w:p w:rsidR="009E1F80" w:rsidRDefault="007A1D4B">
      <w:pPr>
        <w:pStyle w:val="Bibliography"/>
      </w:pPr>
      <w:bookmarkStart w:id="46" w:name="ref-dantzer1989"/>
      <w:bookmarkEnd w:id="45"/>
      <w:r>
        <w:t>Dantzer R, Kelley KW (1989) Stress and immunity: An integrated view of relationships between the brain and the immune system. Life Sci 44:1995–2008</w:t>
      </w:r>
    </w:p>
    <w:p w:rsidR="009E1F80" w:rsidRDefault="007A1D4B">
      <w:pPr>
        <w:pStyle w:val="Bibliography"/>
      </w:pPr>
      <w:bookmarkStart w:id="47" w:name="ref-dantzer2008"/>
      <w:bookmarkEnd w:id="46"/>
      <w:r>
        <w:t>Dantzer R, O’Connor J, Freund G et al (2008) From inflammation to sickness and depression:</w:t>
      </w:r>
      <w:r>
        <w:t xml:space="preserve"> When the immune system subjugates the brain. Nat Rev Neurosci 9:46–56. </w:t>
      </w:r>
      <w:hyperlink r:id="rId19">
        <w:r>
          <w:rPr>
            <w:rStyle w:val="Hyperlink"/>
          </w:rPr>
          <w:t xml:space="preserve">https://doi.org/10.1038/nrn2297 </w:t>
        </w:r>
      </w:hyperlink>
    </w:p>
    <w:p w:rsidR="009E1F80" w:rsidRDefault="007A1D4B">
      <w:pPr>
        <w:pStyle w:val="Bibliography"/>
      </w:pPr>
      <w:bookmarkStart w:id="48" w:name="ref-dunn1994"/>
      <w:bookmarkEnd w:id="47"/>
      <w:r>
        <w:t>Dunn PE, Bohnert TJ, Russell V (1994) Regulation of antibacterial protein synthesis following inf</w:t>
      </w:r>
      <w:r>
        <w:t xml:space="preserve">ection and during metamorphosis of </w:t>
      </w:r>
      <w:r>
        <w:rPr>
          <w:i/>
        </w:rPr>
        <w:t>Manduca sexta</w:t>
      </w:r>
      <w:r>
        <w:t>. Ann N Y Acad Sci 712:117–130</w:t>
      </w:r>
    </w:p>
    <w:p w:rsidR="009E1F80" w:rsidRDefault="007A1D4B">
      <w:pPr>
        <w:pStyle w:val="Bibliography"/>
      </w:pPr>
      <w:bookmarkStart w:id="49" w:name="ref-graham2014"/>
      <w:bookmarkEnd w:id="48"/>
      <w:r>
        <w:t>Graham RI, Deacutis JM, Pulpitel T et al (2014) Locusts increase carbohydrate consumption to protect against a fungal biopesticide. J Insect Physiol 69:27–34</w:t>
      </w:r>
    </w:p>
    <w:p w:rsidR="009E1F80" w:rsidRDefault="007A1D4B">
      <w:pPr>
        <w:pStyle w:val="Bibliography"/>
      </w:pPr>
      <w:bookmarkStart w:id="50" w:name="ref-hart1988"/>
      <w:bookmarkEnd w:id="49"/>
      <w:r>
        <w:t>Hart BL (1988) Biological basis of the behavior of sick animals. Neurosci Biobehav Rev 12:123–137</w:t>
      </w:r>
    </w:p>
    <w:p w:rsidR="009E1F80" w:rsidRDefault="007A1D4B">
      <w:pPr>
        <w:pStyle w:val="Bibliography"/>
      </w:pPr>
      <w:bookmarkStart w:id="51" w:name="ref-ishii2015"/>
      <w:bookmarkEnd w:id="50"/>
      <w:r>
        <w:t xml:space="preserve">Ishii K, Hamamoto H, Sekimizu K (2015) Paralytic peptide: An insect cytokine that mediates innate immunity. Arch Insect Biochem Physiol 88:18–30. </w:t>
      </w:r>
      <w:hyperlink r:id="rId20">
        <w:r>
          <w:rPr>
            <w:rStyle w:val="Hyperlink"/>
          </w:rPr>
          <w:t xml:space="preserve">https://doi.org/10.1002/arch.21215 </w:t>
        </w:r>
      </w:hyperlink>
    </w:p>
    <w:p w:rsidR="009E1F80" w:rsidRDefault="007A1D4B">
      <w:pPr>
        <w:pStyle w:val="Bibliography"/>
      </w:pPr>
      <w:bookmarkStart w:id="52" w:name="ref-jacot2004"/>
      <w:bookmarkEnd w:id="51"/>
      <w:r>
        <w:t xml:space="preserve">Jacot A, Scheuber H, Brinkhof MW (2004) Costs of an induced immune response on sexual display and longevity in field crickets. Evolution 58:2280–2286. </w:t>
      </w:r>
      <w:hyperlink r:id="rId21">
        <w:r>
          <w:rPr>
            <w:rStyle w:val="Hyperlink"/>
          </w:rPr>
          <w:t xml:space="preserve">https://doi.org/10.1098/rspb.2003.2511 </w:t>
        </w:r>
      </w:hyperlink>
    </w:p>
    <w:p w:rsidR="009E1F80" w:rsidRDefault="007A1D4B">
      <w:pPr>
        <w:pStyle w:val="Bibliography"/>
      </w:pPr>
      <w:bookmarkStart w:id="53" w:name="ref-jacot2005"/>
      <w:bookmarkEnd w:id="52"/>
      <w:r>
        <w:t xml:space="preserve">Jacot A, Scheuber H, Kurtz J, Brinkhof M (2005) Juvenile immune status affects the expression of a sexually selected trait in field crickets. J Evol Biol 18:1060–1068. </w:t>
      </w:r>
      <w:hyperlink r:id="rId22">
        <w:r>
          <w:rPr>
            <w:rStyle w:val="Hyperlink"/>
          </w:rPr>
          <w:t xml:space="preserve">https://doi.org/10.1111/j.1420-9101.2005.00899.x </w:t>
        </w:r>
      </w:hyperlink>
    </w:p>
    <w:p w:rsidR="009E1F80" w:rsidRDefault="007A1D4B">
      <w:pPr>
        <w:pStyle w:val="Bibliography"/>
      </w:pPr>
      <w:bookmarkStart w:id="54" w:name="ref-johnson2002"/>
      <w:bookmarkEnd w:id="53"/>
      <w:r>
        <w:t>Johnson RW (2002) The concept of sickness behavior: A brief chronological account of four key discoveries. Vet Immunol Immunopathol 87:443–450</w:t>
      </w:r>
    </w:p>
    <w:p w:rsidR="009E1F80" w:rsidRDefault="007A1D4B">
      <w:pPr>
        <w:pStyle w:val="Bibliography"/>
      </w:pPr>
      <w:bookmarkStart w:id="55" w:name="ref-kazlauskas2016"/>
      <w:bookmarkEnd w:id="54"/>
      <w:r>
        <w:t>Kaz</w:t>
      </w:r>
      <w:r>
        <w:t xml:space="preserve">lauskas N, Klappenbach M, Depino A, Locatelli F (2016) Sickness behavior in honey bees. Front Physiol 7:261. </w:t>
      </w:r>
      <w:hyperlink r:id="rId23">
        <w:r>
          <w:rPr>
            <w:rStyle w:val="Hyperlink"/>
          </w:rPr>
          <w:t xml:space="preserve">https://doi.org/10.3389/fphys.2016.00261 </w:t>
        </w:r>
      </w:hyperlink>
    </w:p>
    <w:p w:rsidR="009E1F80" w:rsidRDefault="007A1D4B">
      <w:pPr>
        <w:pStyle w:val="Bibliography"/>
      </w:pPr>
      <w:bookmarkStart w:id="56" w:name="ref-kelly2011"/>
      <w:bookmarkEnd w:id="55"/>
      <w:r>
        <w:t>Kelly CD (2011) Reproductive and physiolog</w:t>
      </w:r>
      <w:r>
        <w:t xml:space="preserve">ical costs of repeated immune challenges in female wellington tree weta (orthoptera: Anostostomatidae). Biol J Linn Soc 104:38–46. </w:t>
      </w:r>
      <w:hyperlink r:id="rId24">
        <w:r>
          <w:rPr>
            <w:rStyle w:val="Hyperlink"/>
          </w:rPr>
          <w:t xml:space="preserve">https://doi.org/10.1111/j.1095-8312.2011.01714.x </w:t>
        </w:r>
      </w:hyperlink>
    </w:p>
    <w:p w:rsidR="009E1F80" w:rsidRDefault="007A1D4B">
      <w:pPr>
        <w:pStyle w:val="Bibliography"/>
      </w:pPr>
      <w:bookmarkStart w:id="57" w:name="ref-kelly2014"/>
      <w:bookmarkEnd w:id="56"/>
      <w:r>
        <w:t>Kell</w:t>
      </w:r>
      <w:r>
        <w:t xml:space="preserve">y CD, Tawes B, Worthington A (2014) Evaluating indices of body condition in two cricket species. Ecol Evol 4:4476–4487. </w:t>
      </w:r>
      <w:hyperlink r:id="rId25">
        <w:r>
          <w:rPr>
            <w:rStyle w:val="Hyperlink"/>
          </w:rPr>
          <w:t xml:space="preserve">https://doi.org/10.1002/ece3.1257 </w:t>
        </w:r>
      </w:hyperlink>
    </w:p>
    <w:p w:rsidR="009E1F80" w:rsidRDefault="007A1D4B">
      <w:pPr>
        <w:pStyle w:val="Bibliography"/>
      </w:pPr>
      <w:bookmarkStart w:id="58" w:name="ref-kelly2015"/>
      <w:bookmarkEnd w:id="57"/>
      <w:r>
        <w:t xml:space="preserve">Kelly CD, Telemeco MS, Bartholomay LC (2015) </w:t>
      </w:r>
      <w:r>
        <w:t xml:space="preserve">Are attractive male crickets better able to pay the costs of an immune challenge. PeerJ 3:e1501. </w:t>
      </w:r>
      <w:hyperlink r:id="rId26">
        <w:r>
          <w:rPr>
            <w:rStyle w:val="Hyperlink"/>
          </w:rPr>
          <w:t xml:space="preserve">https://doi.org/10.7717/peerj.1501 </w:t>
        </w:r>
      </w:hyperlink>
    </w:p>
    <w:p w:rsidR="009E1F80" w:rsidRDefault="007A1D4B">
      <w:pPr>
        <w:pStyle w:val="Bibliography"/>
      </w:pPr>
      <w:bookmarkStart w:id="59" w:name="ref-kerr2010"/>
      <w:bookmarkEnd w:id="58"/>
      <w:r>
        <w:lastRenderedPageBreak/>
        <w:t>Kerr AM, Gershman SN, Sakaluk SK (2010) Experimentally induced spe</w:t>
      </w:r>
      <w:r>
        <w:t xml:space="preserve">rmatophore production and immune responses reveal a trade-off in crickets. Behav Ecol 21:647–654. </w:t>
      </w:r>
      <w:hyperlink r:id="rId27">
        <w:r>
          <w:rPr>
            <w:rStyle w:val="Hyperlink"/>
          </w:rPr>
          <w:t xml:space="preserve">https://doi.org/10.1093/beheco/arq035 </w:t>
        </w:r>
      </w:hyperlink>
    </w:p>
    <w:p w:rsidR="009E1F80" w:rsidRDefault="007A1D4B">
      <w:pPr>
        <w:pStyle w:val="Bibliography"/>
      </w:pPr>
      <w:bookmarkStart w:id="60" w:name="ref-kyriazakis1998"/>
      <w:bookmarkEnd w:id="59"/>
      <w:r>
        <w:t>Kyriazakis I, Tolkamp B, Hutchings M (1998) Towards a funct</w:t>
      </w:r>
      <w:r>
        <w:t>ional explanation for the occurrence of anorexia during parasitic infections. Anim Behav 56:265–274</w:t>
      </w:r>
    </w:p>
    <w:p w:rsidR="009E1F80" w:rsidRDefault="007A1D4B">
      <w:pPr>
        <w:pStyle w:val="Bibliography"/>
      </w:pPr>
      <w:bookmarkStart w:id="61" w:name="ref-lee2006"/>
      <w:bookmarkEnd w:id="60"/>
      <w:r>
        <w:t xml:space="preserve">Lee K, Cory J, Wilson K et al (2006) Flexible diet choice offsets protein costs of pathogen resistance in a caterpillar. Proc Biol Sci 273:823–829. </w:t>
      </w:r>
      <w:hyperlink r:id="rId28">
        <w:r>
          <w:rPr>
            <w:rStyle w:val="Hyperlink"/>
          </w:rPr>
          <w:t xml:space="preserve">https://doi.org/10.1098/rspb.2005.3385 </w:t>
        </w:r>
      </w:hyperlink>
    </w:p>
    <w:p w:rsidR="009E1F80" w:rsidRDefault="007A1D4B">
      <w:pPr>
        <w:pStyle w:val="Bibliography"/>
      </w:pPr>
      <w:bookmarkStart w:id="62" w:name="ref-lenth2019package"/>
      <w:bookmarkEnd w:id="61"/>
      <w:r>
        <w:t>Lenth R, Singmann H, Love J et al (2019) Package “emmeans”: Estimated marginal means, aka least-squares means. Compr R Arch Netw 1–67</w:t>
      </w:r>
    </w:p>
    <w:p w:rsidR="009E1F80" w:rsidRDefault="007A1D4B">
      <w:pPr>
        <w:pStyle w:val="Bibliography"/>
      </w:pPr>
      <w:bookmarkStart w:id="63" w:name="ref-llewellyn2011"/>
      <w:bookmarkEnd w:id="62"/>
      <w:r>
        <w:t>Llewellyn D, Brown GP, Thomps</w:t>
      </w:r>
      <w:r>
        <w:t xml:space="preserve">on MB, Shine R (2011) Behavioral responses to immune-system activation in an anuran (the cane toad, </w:t>
      </w:r>
      <w:r>
        <w:rPr>
          <w:i/>
        </w:rPr>
        <w:t>Bufo marinus</w:t>
      </w:r>
      <w:r>
        <w:t xml:space="preserve">): Field and laboratory studies. Physiol Biochem Zool 84:77–86. </w:t>
      </w:r>
      <w:hyperlink r:id="rId29">
        <w:r>
          <w:rPr>
            <w:rStyle w:val="Hyperlink"/>
          </w:rPr>
          <w:t>https://doi.org/10.1086/657</w:t>
        </w:r>
        <w:r>
          <w:rPr>
            <w:rStyle w:val="Hyperlink"/>
          </w:rPr>
          <w:t xml:space="preserve">609 </w:t>
        </w:r>
      </w:hyperlink>
    </w:p>
    <w:p w:rsidR="009E1F80" w:rsidRDefault="007A1D4B">
      <w:pPr>
        <w:pStyle w:val="Bibliography"/>
      </w:pPr>
      <w:bookmarkStart w:id="64" w:name="ref-lopes2012"/>
      <w:bookmarkEnd w:id="63"/>
      <w:r>
        <w:t xml:space="preserve">Lopes PC, Adelman J, Wingfield JC, Bentley GE (2012) Social context modulates sickness behavior. Behav Ecol Sociobiol 66:1421–1428. </w:t>
      </w:r>
      <w:hyperlink r:id="rId30">
        <w:r>
          <w:rPr>
            <w:rStyle w:val="Hyperlink"/>
          </w:rPr>
          <w:t xml:space="preserve">https://doi.org/10.1007/s00265-012-1397-1 </w:t>
        </w:r>
      </w:hyperlink>
    </w:p>
    <w:p w:rsidR="009E1F80" w:rsidRDefault="007A1D4B">
      <w:pPr>
        <w:pStyle w:val="Bibliography"/>
      </w:pPr>
      <w:bookmarkStart w:id="65" w:name="ref-mason2014"/>
      <w:bookmarkEnd w:id="64"/>
      <w:r>
        <w:t xml:space="preserve">Mason A, Smilanich A, Singer M (2014) Reduced consumption of protein-rich foods follows immune challenge in a polyphagous caterpillar. J Exp Biol 217:2250–2260. </w:t>
      </w:r>
      <w:hyperlink r:id="rId31">
        <w:r>
          <w:rPr>
            <w:rStyle w:val="Hyperlink"/>
          </w:rPr>
          <w:t xml:space="preserve">https://doi.org/10.1242/jeb.093716 </w:t>
        </w:r>
      </w:hyperlink>
    </w:p>
    <w:p w:rsidR="009E1F80" w:rsidRDefault="007A1D4B">
      <w:pPr>
        <w:pStyle w:val="Bibliography"/>
      </w:pPr>
      <w:bookmarkStart w:id="66" w:name="ref-moret2000"/>
      <w:bookmarkEnd w:id="65"/>
      <w:r>
        <w:t>Mo</w:t>
      </w:r>
      <w:r>
        <w:t xml:space="preserve">ret Y, Schmid-Hempel P (2000) Survival for immunity: The price of immune system activation for bumblebee workers. Science 290:1166–1168. </w:t>
      </w:r>
      <w:hyperlink r:id="rId32">
        <w:r>
          <w:rPr>
            <w:rStyle w:val="Hyperlink"/>
          </w:rPr>
          <w:t xml:space="preserve">https://doi.org/10.1126/science.290.5494.1166 </w:t>
        </w:r>
      </w:hyperlink>
    </w:p>
    <w:p w:rsidR="009E1F80" w:rsidRDefault="007A1D4B">
      <w:pPr>
        <w:pStyle w:val="Bibliography"/>
      </w:pPr>
      <w:bookmarkStart w:id="67" w:name="ref-noldus2001"/>
      <w:bookmarkEnd w:id="66"/>
      <w:r>
        <w:t>Nold</w:t>
      </w:r>
      <w:r>
        <w:t>us LP, Spink AJ, Tegelenbosch RA (2001) EthoVision: A versatile video tracking system for automation of behavioral experiments. Behavior Research Methods, Instruments, &amp; Computers 33:398–414</w:t>
      </w:r>
    </w:p>
    <w:p w:rsidR="009E1F80" w:rsidRDefault="007A1D4B">
      <w:pPr>
        <w:pStyle w:val="Bibliography"/>
      </w:pPr>
      <w:bookmarkStart w:id="68" w:name="ref-owen-ashley2006a"/>
      <w:bookmarkEnd w:id="67"/>
      <w:r>
        <w:t>Owen-Ashley N, Turner M, Hahn T, Wingfield J (2006) Hormonal, beh</w:t>
      </w:r>
      <w:r>
        <w:t>avioral, and thermoregulatory responses to bacterial lipopolysaccharide in captive and free-living white-crowned sparrows (</w:t>
      </w:r>
      <w:r>
        <w:rPr>
          <w:i/>
        </w:rPr>
        <w:t>Zonotrichia leucophrys gambelii</w:t>
      </w:r>
      <w:r>
        <w:t xml:space="preserve">). Horm Behav 49:15–29. </w:t>
      </w:r>
      <w:hyperlink r:id="rId33">
        <w:r>
          <w:rPr>
            <w:rStyle w:val="Hyperlink"/>
          </w:rPr>
          <w:t>https://doi.</w:t>
        </w:r>
        <w:r>
          <w:rPr>
            <w:rStyle w:val="Hyperlink"/>
          </w:rPr>
          <w:t xml:space="preserve">org/10.1016/j.yhbeh.2005.04.009 </w:t>
        </w:r>
      </w:hyperlink>
    </w:p>
    <w:p w:rsidR="009E1F80" w:rsidRDefault="007A1D4B">
      <w:pPr>
        <w:pStyle w:val="Bibliography"/>
      </w:pPr>
      <w:bookmarkStart w:id="69" w:name="ref-owen-ashley2006"/>
      <w:bookmarkEnd w:id="68"/>
      <w:r>
        <w:t>Owen-Ashley N, Wingfield J (2006) Seasonal modulation of sickness behavior in free-living northwestern song sparrows (</w:t>
      </w:r>
      <w:r>
        <w:rPr>
          <w:i/>
        </w:rPr>
        <w:t>Melospiza melodia morphna</w:t>
      </w:r>
      <w:r>
        <w:t xml:space="preserve">). J Exp Biol 209:3062–3070. </w:t>
      </w:r>
      <w:hyperlink r:id="rId34">
        <w:r>
          <w:rPr>
            <w:rStyle w:val="Hyperlink"/>
          </w:rPr>
          <w:t xml:space="preserve">https://doi.org/10.1242/jeb.02371 </w:t>
        </w:r>
      </w:hyperlink>
    </w:p>
    <w:p w:rsidR="009E1F80" w:rsidRDefault="007A1D4B">
      <w:pPr>
        <w:pStyle w:val="Bibliography"/>
      </w:pPr>
      <w:bookmarkStart w:id="70" w:name="ref-park2015"/>
      <w:bookmarkEnd w:id="69"/>
      <w:r>
        <w:t xml:space="preserve">Park Y, Stanley D (2015) Physiological trade-off between cellular immunity and flight capability in the wing-dimorphic sand cricket, </w:t>
      </w:r>
      <w:r>
        <w:rPr>
          <w:i/>
        </w:rPr>
        <w:t>Gryllus firmus</w:t>
      </w:r>
      <w:r>
        <w:t xml:space="preserve">. Journal of Asia-Pacific Entomology 18:553–559. </w:t>
      </w:r>
      <w:hyperlink r:id="rId35">
        <w:r>
          <w:rPr>
            <w:rStyle w:val="Hyperlink"/>
          </w:rPr>
          <w:t xml:space="preserve">https://doi.org/10.1016/j.aspen.2015.07.007 </w:t>
        </w:r>
      </w:hyperlink>
    </w:p>
    <w:p w:rsidR="009E1F80" w:rsidRDefault="007A1D4B">
      <w:pPr>
        <w:pStyle w:val="Bibliography"/>
      </w:pPr>
      <w:bookmarkStart w:id="71" w:name="ref-ponton2020"/>
      <w:bookmarkEnd w:id="70"/>
      <w:r>
        <w:t xml:space="preserve">Ponton F, Morimoto J, Robinson K et al (2020) Macronutrients modulate survival to infection and immunity in </w:t>
      </w:r>
      <w:r>
        <w:rPr>
          <w:i/>
        </w:rPr>
        <w:t>Drosophila</w:t>
      </w:r>
      <w:r>
        <w:t xml:space="preserve">. J Anim Ecol 89:460–470. </w:t>
      </w:r>
      <w:hyperlink r:id="rId36">
        <w:r>
          <w:rPr>
            <w:rStyle w:val="Hyperlink"/>
          </w:rPr>
          <w:t xml:space="preserve">https://doi.org/10.1111/1365-2656.13126 </w:t>
        </w:r>
      </w:hyperlink>
    </w:p>
    <w:p w:rsidR="009E1F80" w:rsidRDefault="007A1D4B">
      <w:pPr>
        <w:pStyle w:val="Bibliography"/>
      </w:pPr>
      <w:bookmarkStart w:id="72" w:name="ref-ponton2013"/>
      <w:bookmarkEnd w:id="71"/>
      <w:r>
        <w:t xml:space="preserve">Ponton F, Wilson K, Holmes A et al (2013) Integrating nutrition and immunology: A new frontier. J Insect Physiol 59:130–137. </w:t>
      </w:r>
      <w:hyperlink r:id="rId37">
        <w:r>
          <w:rPr>
            <w:rStyle w:val="Hyperlink"/>
          </w:rPr>
          <w:t xml:space="preserve">https://doi.org/10.1016/j.jinsphys.2012.10.011 </w:t>
        </w:r>
      </w:hyperlink>
    </w:p>
    <w:p w:rsidR="009E1F80" w:rsidRDefault="007A1D4B">
      <w:pPr>
        <w:pStyle w:val="Bibliography"/>
      </w:pPr>
      <w:bookmarkStart w:id="73" w:name="ref-povey2009"/>
      <w:bookmarkEnd w:id="72"/>
      <w:r>
        <w:lastRenderedPageBreak/>
        <w:t xml:space="preserve">Povey S, Cotter S, Simpson S et al (2009) Can the protein costs of bacterial resistance be offset by altered feeding behaviour. J Anim Ecol 78:437–446. </w:t>
      </w:r>
      <w:hyperlink r:id="rId38">
        <w:r>
          <w:rPr>
            <w:rStyle w:val="Hyperlink"/>
          </w:rPr>
          <w:t xml:space="preserve">https://doi.org/10.1111/j.1365-2656.2008.01499.x </w:t>
        </w:r>
      </w:hyperlink>
    </w:p>
    <w:p w:rsidR="009E1F80" w:rsidRDefault="007A1D4B">
      <w:pPr>
        <w:pStyle w:val="Bibliography"/>
      </w:pPr>
      <w:bookmarkStart w:id="74" w:name="ref-raubenheimer2009"/>
      <w:bookmarkEnd w:id="73"/>
      <w:r>
        <w:t xml:space="preserve">Raubenheimer D, Simpson SJ (2009) Nutritional pharmecology: Doses, nutrients, toxins, and medicines. Integr Comp Biol 49:329–337. </w:t>
      </w:r>
      <w:hyperlink r:id="rId39">
        <w:r>
          <w:rPr>
            <w:rStyle w:val="Hyperlink"/>
          </w:rPr>
          <w:t xml:space="preserve">https://doi.org/10.1093/icb/icp050 </w:t>
        </w:r>
      </w:hyperlink>
    </w:p>
    <w:p w:rsidR="009E1F80" w:rsidRDefault="007A1D4B">
      <w:pPr>
        <w:pStyle w:val="Bibliography"/>
      </w:pPr>
      <w:bookmarkStart w:id="75" w:name="ref-r2013"/>
      <w:bookmarkEnd w:id="74"/>
      <w:r>
        <w:t>R Development Core Team (2013) R: A language and environment for statistical computing</w:t>
      </w:r>
    </w:p>
    <w:p w:rsidR="009E1F80" w:rsidRDefault="007A1D4B">
      <w:pPr>
        <w:pStyle w:val="Bibliography"/>
      </w:pPr>
      <w:bookmarkStart w:id="76" w:name="ref-roberts1991"/>
      <w:bookmarkEnd w:id="75"/>
      <w:r>
        <w:t>Roberts NJ (1991) Impact of temperature elevation on immunologic defenses. Reviews of Infectious Diseases 13:462–472.</w:t>
      </w:r>
      <w:r>
        <w:t xml:space="preserve"> </w:t>
      </w:r>
      <w:hyperlink r:id="rId40">
        <w:r>
          <w:rPr>
            <w:rStyle w:val="Hyperlink"/>
          </w:rPr>
          <w:t xml:space="preserve">https://doi.org/10.2307/4455951 </w:t>
        </w:r>
      </w:hyperlink>
    </w:p>
    <w:p w:rsidR="009E1F80" w:rsidRDefault="007A1D4B">
      <w:pPr>
        <w:pStyle w:val="Bibliography"/>
      </w:pPr>
      <w:bookmarkStart w:id="77" w:name="ref-shoemaker2007"/>
      <w:bookmarkEnd w:id="76"/>
      <w:r>
        <w:t xml:space="preserve">Shoemaker KL, Adamo SA (2007) Adult female crickets, </w:t>
      </w:r>
      <w:r>
        <w:rPr>
          <w:i/>
        </w:rPr>
        <w:t>Gryllus texensis</w:t>
      </w:r>
      <w:r>
        <w:t xml:space="preserve">, maintain reproductive output after repeated immune challenges. Physiol Entomol 32:113–120. </w:t>
      </w:r>
      <w:hyperlink r:id="rId41">
        <w:r>
          <w:rPr>
            <w:rStyle w:val="Hyperlink"/>
          </w:rPr>
          <w:t xml:space="preserve">https://doi.org/10.1111/j.1365-3032.2006.00552.x </w:t>
        </w:r>
      </w:hyperlink>
    </w:p>
    <w:p w:rsidR="009E1F80" w:rsidRDefault="007A1D4B">
      <w:pPr>
        <w:pStyle w:val="Bibliography"/>
      </w:pPr>
      <w:bookmarkStart w:id="78" w:name="ref-singer2014"/>
      <w:bookmarkEnd w:id="77"/>
      <w:r>
        <w:t xml:space="preserve">Singer M, Mason P, Smilanich A (2014) Ecological immunology mediated by diet in herbivorous insects. Integr Comp Biol 54:913–921. </w:t>
      </w:r>
      <w:hyperlink r:id="rId42">
        <w:r>
          <w:rPr>
            <w:rStyle w:val="Hyperlink"/>
          </w:rPr>
          <w:t xml:space="preserve">https://doi.org/10.1093/icb/icu089 </w:t>
        </w:r>
      </w:hyperlink>
    </w:p>
    <w:p w:rsidR="009E1F80" w:rsidRDefault="007A1D4B">
      <w:pPr>
        <w:pStyle w:val="Bibliography"/>
      </w:pPr>
      <w:bookmarkStart w:id="79" w:name="ref-sullivan2016"/>
      <w:bookmarkEnd w:id="78"/>
      <w:r>
        <w:t xml:space="preserve">Sullivan K, Fairn E, Adamo SA (2016) Sickness behaviour in the cricket </w:t>
      </w:r>
      <w:r>
        <w:rPr>
          <w:i/>
        </w:rPr>
        <w:t>Gryllus texensis</w:t>
      </w:r>
      <w:r>
        <w:t xml:space="preserve">: Comparison with animals across phyla. Behav Process 128:134–143. </w:t>
      </w:r>
      <w:hyperlink r:id="rId43">
        <w:r>
          <w:rPr>
            <w:rStyle w:val="Hyperlink"/>
          </w:rPr>
          <w:t xml:space="preserve">https://doi.org/10.1016/j.beproc.2016.05.004 </w:t>
        </w:r>
      </w:hyperlink>
    </w:p>
    <w:p w:rsidR="009E1F80" w:rsidRDefault="007A1D4B">
      <w:pPr>
        <w:pStyle w:val="Bibliography"/>
      </w:pPr>
      <w:bookmarkStart w:id="80" w:name="ref-vaughn1974"/>
      <w:bookmarkEnd w:id="79"/>
      <w:r>
        <w:t xml:space="preserve">Vaughn LK, Bernheim HA, Kluger MJ (1974) Fever in the lizard </w:t>
      </w:r>
      <w:r>
        <w:rPr>
          <w:i/>
        </w:rPr>
        <w:t>Dipsosaurus dorsalis</w:t>
      </w:r>
      <w:r>
        <w:t>. Nature 252:473–474</w:t>
      </w:r>
    </w:p>
    <w:p w:rsidR="009E1F80" w:rsidRDefault="007A1D4B">
      <w:pPr>
        <w:pStyle w:val="Bibliography"/>
      </w:pPr>
      <w:bookmarkStart w:id="81" w:name="ref-wey2019"/>
      <w:bookmarkEnd w:id="80"/>
      <w:r>
        <w:t>Wey TW, Réale D, Kelly CD (2019) Developmen</w:t>
      </w:r>
      <w:r>
        <w:t>tal and genetic effects on behavioral and life-history traits in a field cricket. Ecology and Evolution 9:3434–3445</w:t>
      </w:r>
    </w:p>
    <w:p w:rsidR="009E1F80" w:rsidRDefault="007A1D4B">
      <w:pPr>
        <w:pStyle w:val="Bibliography"/>
      </w:pPr>
      <w:bookmarkStart w:id="82" w:name="ref-yirmiya1995"/>
      <w:bookmarkEnd w:id="81"/>
      <w:r>
        <w:t xml:space="preserve">Yirmiya R, Avitsur R, Donchin O, Cohen E (1995) Interleukin-1 inhibits sexual behavior in female but not in male rats. Brain, behavior, and </w:t>
      </w:r>
      <w:r>
        <w:t>immunity 9:220–233</w:t>
      </w:r>
    </w:p>
    <w:p w:rsidR="009E1F80" w:rsidRDefault="009E1F80">
      <w:pPr>
        <w:pStyle w:val="Heading5"/>
      </w:pPr>
      <w:bookmarkStart w:id="83" w:name="section-2"/>
      <w:bookmarkEnd w:id="82"/>
      <w:bookmarkEnd w:id="27"/>
      <w:bookmarkEnd w:id="83"/>
    </w:p>
    <w:p w:rsidR="009E1F80" w:rsidRDefault="007A1D4B">
      <w:pPr>
        <w:pStyle w:val="TableCaption"/>
      </w:pPr>
      <w:r>
        <w:t xml:space="preserve">Table 1: Mean (±sd) measurements of four phenotypic traits in experimental male and female </w:t>
      </w:r>
      <w:r>
        <w:rPr>
          <w:i/>
        </w:rPr>
        <w:t>Gryllus firmus</w:t>
      </w:r>
      <w:r>
        <w:t xml:space="preserve"> field crickets. Mass (g) was taken for each cricket immediately before and after its trial. Sample sizes are: female saline: n= 31</w:t>
      </w:r>
      <w:r>
        <w:t xml:space="preserve"> ; female LPS: n= 30 ; male saline: n= 50 ; male LPS: n= 51 .</w:t>
      </w:r>
    </w:p>
    <w:tbl>
      <w:tblPr>
        <w:tblW w:w="0" w:type="auto"/>
        <w:jc w:val="center"/>
        <w:tblLayout w:type="fixed"/>
        <w:tblLook w:val="04A0" w:firstRow="1" w:lastRow="0" w:firstColumn="1" w:lastColumn="0" w:noHBand="0" w:noVBand="1"/>
      </w:tblPr>
      <w:tblGrid>
        <w:gridCol w:w="2592"/>
        <w:gridCol w:w="1440"/>
        <w:gridCol w:w="1440"/>
        <w:gridCol w:w="216"/>
        <w:gridCol w:w="1440"/>
        <w:gridCol w:w="1440"/>
      </w:tblGrid>
      <w:tr w:rsidR="009E1F80">
        <w:trPr>
          <w:cantSplit/>
          <w:tblHeader/>
          <w:jc w:val="center"/>
        </w:trPr>
        <w:tc>
          <w:tcPr>
            <w:tcW w:w="2592" w:type="dxa"/>
            <w:tcBorders>
              <w:top w:val="single" w:sz="16" w:space="0" w:color="000000"/>
            </w:tcBorders>
            <w:shd w:val="clear" w:color="auto" w:fill="FFFFFF"/>
            <w:tcMar>
              <w:top w:w="0" w:type="dxa"/>
              <w:left w:w="0" w:type="dxa"/>
              <w:bottom w:w="0" w:type="dxa"/>
              <w:right w:w="0" w:type="dxa"/>
            </w:tcMar>
            <w:vAlign w:val="center"/>
          </w:tcPr>
          <w:p w:rsidR="009E1F80" w:rsidRDefault="009E1F80">
            <w:pPr>
              <w:spacing w:after="0"/>
            </w:pPr>
          </w:p>
        </w:tc>
        <w:tc>
          <w:tcPr>
            <w:tcW w:w="2880" w:type="dxa"/>
            <w:gridSpan w:val="2"/>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after="0"/>
              <w:jc w:val="center"/>
            </w:pPr>
            <w:r>
              <w:rPr>
                <w:rFonts w:ascii="Arial" w:eastAsia="Arial" w:hAnsi="Arial" w:cs="Arial"/>
                <w:b/>
                <w:color w:val="000000"/>
                <w:sz w:val="20"/>
                <w:szCs w:val="20"/>
              </w:rPr>
              <w:t>Females</w:t>
            </w:r>
          </w:p>
        </w:tc>
        <w:tc>
          <w:tcPr>
            <w:tcW w:w="216" w:type="dxa"/>
            <w:tcBorders>
              <w:top w:val="single" w:sz="16" w:space="0" w:color="000000"/>
            </w:tcBorders>
            <w:shd w:val="clear" w:color="auto" w:fill="FFFFFF"/>
            <w:tcMar>
              <w:top w:w="0" w:type="dxa"/>
              <w:left w:w="0" w:type="dxa"/>
              <w:bottom w:w="0" w:type="dxa"/>
              <w:right w:w="0" w:type="dxa"/>
            </w:tcMar>
            <w:vAlign w:val="center"/>
          </w:tcPr>
          <w:p w:rsidR="009E1F80" w:rsidRDefault="009E1F80">
            <w:pPr>
              <w:spacing w:after="0"/>
              <w:jc w:val="center"/>
            </w:pPr>
          </w:p>
        </w:tc>
        <w:tc>
          <w:tcPr>
            <w:tcW w:w="2880" w:type="dxa"/>
            <w:gridSpan w:val="2"/>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after="0"/>
              <w:jc w:val="center"/>
            </w:pPr>
            <w:r>
              <w:rPr>
                <w:rFonts w:ascii="Arial" w:eastAsia="Arial" w:hAnsi="Arial" w:cs="Arial"/>
                <w:b/>
                <w:color w:val="000000"/>
                <w:sz w:val="20"/>
                <w:szCs w:val="20"/>
              </w:rPr>
              <w:t>Males</w:t>
            </w:r>
          </w:p>
        </w:tc>
      </w:tr>
      <w:tr w:rsidR="009E1F80">
        <w:trPr>
          <w:cantSplit/>
          <w:tblHeader/>
          <w:jc w:val="center"/>
        </w:trPr>
        <w:tc>
          <w:tcPr>
            <w:tcW w:w="2592"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trait</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b/>
                <w:color w:val="111111"/>
                <w:sz w:val="22"/>
                <w:szCs w:val="22"/>
              </w:rPr>
              <w:t>saline</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b/>
                <w:color w:val="111111"/>
                <w:sz w:val="22"/>
                <w:szCs w:val="22"/>
              </w:rPr>
              <w:t>LPS</w:t>
            </w:r>
          </w:p>
        </w:tc>
        <w:tc>
          <w:tcPr>
            <w:tcW w:w="216" w:type="dxa"/>
            <w:tcBorders>
              <w:bottom w:val="single" w:sz="16" w:space="0" w:color="000000"/>
            </w:tcBorders>
            <w:shd w:val="clear" w:color="auto" w:fill="FFFFFF"/>
            <w:tcMar>
              <w:top w:w="0" w:type="dxa"/>
              <w:left w:w="0" w:type="dxa"/>
              <w:bottom w:w="0" w:type="dxa"/>
              <w:right w:w="0" w:type="dxa"/>
            </w:tcMar>
            <w:vAlign w:val="center"/>
          </w:tcPr>
          <w:p w:rsidR="009E1F80" w:rsidRDefault="009E1F80">
            <w:pPr>
              <w:spacing w:before="40" w:after="40"/>
              <w:ind w:left="100" w:right="100"/>
              <w:jc w:val="center"/>
            </w:pP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b/>
                <w:color w:val="111111"/>
                <w:sz w:val="22"/>
                <w:szCs w:val="22"/>
              </w:rPr>
              <w:t>saline</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b/>
                <w:color w:val="111111"/>
                <w:sz w:val="22"/>
                <w:szCs w:val="22"/>
              </w:rPr>
              <w:t>LPS</w:t>
            </w:r>
          </w:p>
        </w:tc>
      </w:tr>
      <w:tr w:rsidR="009E1F80">
        <w:trPr>
          <w:cantSplit/>
          <w:jc w:val="center"/>
        </w:trPr>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age (d)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8.17 ± 1.23</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7.94 ± 0.96</w:t>
            </w:r>
          </w:p>
        </w:tc>
        <w:tc>
          <w:tcPr>
            <w:tcW w:w="216"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7.94 ± 1.01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7.76 ± 0.96</w:t>
            </w:r>
          </w:p>
        </w:tc>
      </w:tr>
      <w:tr w:rsidR="009E1F80">
        <w:trPr>
          <w:cantSplit/>
          <w:jc w:val="center"/>
        </w:trPr>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pronotum length (mm)</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6.49 ± 0.33</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6.23 ± 0.47</w:t>
            </w:r>
          </w:p>
        </w:tc>
        <w:tc>
          <w:tcPr>
            <w:tcW w:w="216"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6.16 ± 0.36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6.26 ± 0.38</w:t>
            </w:r>
          </w:p>
        </w:tc>
      </w:tr>
      <w:tr w:rsidR="009E1F80">
        <w:trPr>
          <w:cantSplit/>
          <w:jc w:val="center"/>
        </w:trPr>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pre-trial mass (g)</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0.80 ± 0.16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0.69 ± 0.11</w:t>
            </w:r>
          </w:p>
        </w:tc>
        <w:tc>
          <w:tcPr>
            <w:tcW w:w="216"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0.58 ± 0.09</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0.61 ± 0.08</w:t>
            </w:r>
          </w:p>
        </w:tc>
      </w:tr>
      <w:tr w:rsidR="009E1F80">
        <w:trPr>
          <w:cantSplit/>
          <w:jc w:val="center"/>
        </w:trPr>
        <w:tc>
          <w:tcPr>
            <w:tcW w:w="2592"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post-trial mass (g)</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0.83 ± 0.16</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0.72 ± 0.12</w:t>
            </w:r>
          </w:p>
        </w:tc>
        <w:tc>
          <w:tcPr>
            <w:tcW w:w="216" w:type="dxa"/>
            <w:tcBorders>
              <w:bottom w:val="single" w:sz="16" w:space="0" w:color="000000"/>
            </w:tcBorders>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0.61 ± 0.10</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0.63 ± 0.10</w:t>
            </w:r>
          </w:p>
        </w:tc>
      </w:tr>
    </w:tbl>
    <w:p w:rsidR="009E1F80" w:rsidRDefault="009E1F80">
      <w:pPr>
        <w:pStyle w:val="Heading5"/>
      </w:pPr>
      <w:bookmarkStart w:id="84" w:name="section-3"/>
      <w:bookmarkEnd w:id="84"/>
    </w:p>
    <w:p w:rsidR="009E1F80" w:rsidRDefault="007A1D4B">
      <w:pPr>
        <w:pStyle w:val="TableCaption"/>
      </w:pPr>
      <w:r>
        <w:t xml:space="preserve">Table 2: Mean (±sd) measurements of five behavioural traits in experimental male and female </w:t>
      </w:r>
      <w:r>
        <w:rPr>
          <w:i/>
        </w:rPr>
        <w:t>Gryllus firmus</w:t>
      </w:r>
      <w:r>
        <w:t xml:space="preserve"> field crickets.</w:t>
      </w:r>
    </w:p>
    <w:tbl>
      <w:tblPr>
        <w:tblW w:w="0" w:type="auto"/>
        <w:jc w:val="center"/>
        <w:tblLayout w:type="fixed"/>
        <w:tblLook w:val="04A0" w:firstRow="1" w:lastRow="0" w:firstColumn="1" w:lastColumn="0" w:noHBand="0" w:noVBand="1"/>
      </w:tblPr>
      <w:tblGrid>
        <w:gridCol w:w="864"/>
        <w:gridCol w:w="2880"/>
        <w:gridCol w:w="936"/>
        <w:gridCol w:w="2880"/>
        <w:gridCol w:w="936"/>
        <w:gridCol w:w="144"/>
        <w:gridCol w:w="2880"/>
        <w:gridCol w:w="936"/>
        <w:gridCol w:w="2880"/>
        <w:gridCol w:w="936"/>
      </w:tblGrid>
      <w:tr w:rsidR="009E1F80">
        <w:trPr>
          <w:cantSplit/>
          <w:tblHeader/>
          <w:jc w:val="center"/>
        </w:trPr>
        <w:tc>
          <w:tcPr>
            <w:tcW w:w="864" w:type="dxa"/>
            <w:tcBorders>
              <w:top w:val="single" w:sz="16" w:space="0" w:color="000000"/>
            </w:tcBorders>
            <w:shd w:val="clear" w:color="auto" w:fill="FFFFFF"/>
            <w:tcMar>
              <w:top w:w="0" w:type="dxa"/>
              <w:left w:w="0" w:type="dxa"/>
              <w:bottom w:w="0" w:type="dxa"/>
              <w:right w:w="0" w:type="dxa"/>
            </w:tcMar>
            <w:vAlign w:val="center"/>
          </w:tcPr>
          <w:p w:rsidR="009E1F80" w:rsidRDefault="009E1F80">
            <w:pPr>
              <w:spacing w:after="0"/>
            </w:pPr>
          </w:p>
        </w:tc>
        <w:tc>
          <w:tcPr>
            <w:tcW w:w="7632" w:type="dxa"/>
            <w:gridSpan w:val="4"/>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after="0"/>
              <w:jc w:val="center"/>
            </w:pPr>
            <w:r>
              <w:rPr>
                <w:rFonts w:ascii="Arial" w:eastAsia="Arial" w:hAnsi="Arial" w:cs="Arial"/>
                <w:b/>
                <w:color w:val="000000"/>
                <w:sz w:val="20"/>
                <w:szCs w:val="20"/>
              </w:rPr>
              <w:t>Females</w:t>
            </w:r>
          </w:p>
        </w:tc>
        <w:tc>
          <w:tcPr>
            <w:tcW w:w="144" w:type="dxa"/>
            <w:tcBorders>
              <w:top w:val="single" w:sz="16" w:space="0" w:color="000000"/>
            </w:tcBorders>
            <w:shd w:val="clear" w:color="auto" w:fill="FFFFFF"/>
            <w:tcMar>
              <w:top w:w="0" w:type="dxa"/>
              <w:left w:w="0" w:type="dxa"/>
              <w:bottom w:w="0" w:type="dxa"/>
              <w:right w:w="0" w:type="dxa"/>
            </w:tcMar>
            <w:vAlign w:val="center"/>
          </w:tcPr>
          <w:p w:rsidR="009E1F80" w:rsidRDefault="009E1F80">
            <w:pPr>
              <w:spacing w:after="0"/>
              <w:jc w:val="center"/>
            </w:pPr>
          </w:p>
        </w:tc>
        <w:tc>
          <w:tcPr>
            <w:tcW w:w="7632" w:type="dxa"/>
            <w:gridSpan w:val="4"/>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after="0"/>
              <w:jc w:val="center"/>
            </w:pPr>
            <w:r>
              <w:rPr>
                <w:rFonts w:ascii="Arial" w:eastAsia="Arial" w:hAnsi="Arial" w:cs="Arial"/>
                <w:b/>
                <w:color w:val="000000"/>
                <w:sz w:val="20"/>
                <w:szCs w:val="20"/>
              </w:rPr>
              <w:t>Males</w:t>
            </w:r>
          </w:p>
        </w:tc>
      </w:tr>
      <w:tr w:rsidR="009E1F80">
        <w:trPr>
          <w:cantSplit/>
          <w:tblHeader/>
          <w:jc w:val="center"/>
        </w:trPr>
        <w:tc>
          <w:tcPr>
            <w:tcW w:w="864"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behaviour</w:t>
            </w:r>
          </w:p>
        </w:tc>
        <w:tc>
          <w:tcPr>
            <w:tcW w:w="288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saline</w:t>
            </w:r>
          </w:p>
        </w:tc>
        <w:tc>
          <w:tcPr>
            <w:tcW w:w="93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n</w:t>
            </w:r>
          </w:p>
        </w:tc>
        <w:tc>
          <w:tcPr>
            <w:tcW w:w="288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LPS</w:t>
            </w:r>
          </w:p>
        </w:tc>
        <w:tc>
          <w:tcPr>
            <w:tcW w:w="93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n</w:t>
            </w:r>
          </w:p>
        </w:tc>
        <w:tc>
          <w:tcPr>
            <w:tcW w:w="144" w:type="dxa"/>
            <w:tcBorders>
              <w:bottom w:val="single" w:sz="16" w:space="0" w:color="000000"/>
            </w:tcBorders>
            <w:shd w:val="clear" w:color="auto" w:fill="FFFFFF"/>
            <w:tcMar>
              <w:top w:w="0" w:type="dxa"/>
              <w:left w:w="0" w:type="dxa"/>
              <w:bottom w:w="0" w:type="dxa"/>
              <w:right w:w="0" w:type="dxa"/>
            </w:tcMar>
            <w:vAlign w:val="center"/>
          </w:tcPr>
          <w:p w:rsidR="009E1F80" w:rsidRDefault="009E1F80">
            <w:pPr>
              <w:spacing w:before="40" w:after="40"/>
              <w:ind w:left="100" w:right="100"/>
            </w:pPr>
          </w:p>
        </w:tc>
        <w:tc>
          <w:tcPr>
            <w:tcW w:w="288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saline</w:t>
            </w:r>
          </w:p>
        </w:tc>
        <w:tc>
          <w:tcPr>
            <w:tcW w:w="936"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n</w:t>
            </w:r>
          </w:p>
        </w:tc>
        <w:tc>
          <w:tcPr>
            <w:tcW w:w="288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LPS</w:t>
            </w:r>
          </w:p>
        </w:tc>
        <w:tc>
          <w:tcPr>
            <w:tcW w:w="93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n</w:t>
            </w:r>
          </w:p>
        </w:tc>
      </w:tr>
      <w:tr w:rsidR="009E1F80">
        <w:trPr>
          <w:cantSplit/>
          <w:jc w:val="center"/>
        </w:trPr>
        <w:tc>
          <w:tcPr>
            <w:tcW w:w="864"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shelter time (s)</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1072.17 ± 1757.02</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30</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1462.90 ± 2108.33</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31</w:t>
            </w:r>
          </w:p>
        </w:tc>
        <w:tc>
          <w:tcPr>
            <w:tcW w:w="144" w:type="dxa"/>
            <w:shd w:val="clear" w:color="auto" w:fill="FFFFFF"/>
            <w:tcMar>
              <w:top w:w="0" w:type="dxa"/>
              <w:left w:w="0" w:type="dxa"/>
              <w:bottom w:w="0" w:type="dxa"/>
              <w:right w:w="0" w:type="dxa"/>
            </w:tcMar>
            <w:vAlign w:val="center"/>
          </w:tcPr>
          <w:p w:rsidR="009E1F80" w:rsidRDefault="009E1F80">
            <w:pPr>
              <w:spacing w:before="40" w:after="40"/>
              <w:ind w:left="100" w:right="100"/>
            </w:pP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898.07 ± 1325.98</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51</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1114.59 ± 1520.29</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50</w:t>
            </w:r>
          </w:p>
        </w:tc>
      </w:tr>
      <w:tr w:rsidR="009E1F80">
        <w:trPr>
          <w:cantSplit/>
          <w:jc w:val="center"/>
        </w:trPr>
        <w:tc>
          <w:tcPr>
            <w:tcW w:w="864"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shelter visits</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153.84 ± 483.56</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30</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78.37 ± 172.99</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31</w:t>
            </w:r>
          </w:p>
        </w:tc>
        <w:tc>
          <w:tcPr>
            <w:tcW w:w="144" w:type="dxa"/>
            <w:shd w:val="clear" w:color="auto" w:fill="FFFFFF"/>
            <w:tcMar>
              <w:top w:w="0" w:type="dxa"/>
              <w:left w:w="0" w:type="dxa"/>
              <w:bottom w:w="0" w:type="dxa"/>
              <w:right w:w="0" w:type="dxa"/>
            </w:tcMar>
            <w:vAlign w:val="center"/>
          </w:tcPr>
          <w:p w:rsidR="009E1F80" w:rsidRDefault="009E1F80">
            <w:pPr>
              <w:spacing w:before="40" w:after="40"/>
              <w:ind w:left="100" w:right="100"/>
            </w:pP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43.94 ± 62.00</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51</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48.96 ± 70.81</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50</w:t>
            </w:r>
          </w:p>
        </w:tc>
      </w:tr>
      <w:tr w:rsidR="009E1F80">
        <w:trPr>
          <w:cantSplit/>
          <w:jc w:val="center"/>
        </w:trPr>
        <w:tc>
          <w:tcPr>
            <w:tcW w:w="864"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distance (cm)</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10371.27 ± 9608.12</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30</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12262.33 ± 12243.90</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31</w:t>
            </w:r>
          </w:p>
        </w:tc>
        <w:tc>
          <w:tcPr>
            <w:tcW w:w="144" w:type="dxa"/>
            <w:shd w:val="clear" w:color="auto" w:fill="FFFFFF"/>
            <w:tcMar>
              <w:top w:w="0" w:type="dxa"/>
              <w:left w:w="0" w:type="dxa"/>
              <w:bottom w:w="0" w:type="dxa"/>
              <w:right w:w="0" w:type="dxa"/>
            </w:tcMar>
            <w:vAlign w:val="center"/>
          </w:tcPr>
          <w:p w:rsidR="009E1F80" w:rsidRDefault="009E1F80">
            <w:pPr>
              <w:spacing w:before="40" w:after="40"/>
              <w:ind w:left="100" w:right="100"/>
            </w:pP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9439.38 ± 8272.48</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51</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11429.48 ± 9528.18</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49</w:t>
            </w:r>
          </w:p>
        </w:tc>
      </w:tr>
      <w:tr w:rsidR="009E1F80">
        <w:trPr>
          <w:cantSplit/>
          <w:jc w:val="center"/>
        </w:trPr>
        <w:tc>
          <w:tcPr>
            <w:tcW w:w="864"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speed (cm/s)</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1.79 ± 2.22</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30</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1.58 ± 1.45</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31</w:t>
            </w:r>
          </w:p>
        </w:tc>
        <w:tc>
          <w:tcPr>
            <w:tcW w:w="144" w:type="dxa"/>
            <w:shd w:val="clear" w:color="auto" w:fill="FFFFFF"/>
            <w:tcMar>
              <w:top w:w="0" w:type="dxa"/>
              <w:left w:w="0" w:type="dxa"/>
              <w:bottom w:w="0" w:type="dxa"/>
              <w:right w:w="0" w:type="dxa"/>
            </w:tcMar>
            <w:vAlign w:val="center"/>
          </w:tcPr>
          <w:p w:rsidR="009E1F80" w:rsidRDefault="009E1F80">
            <w:pPr>
              <w:spacing w:before="40" w:after="40"/>
              <w:ind w:left="100" w:right="100"/>
            </w:pP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1.20 ± 0.79</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51</w:t>
            </w:r>
          </w:p>
        </w:tc>
        <w:tc>
          <w:tcPr>
            <w:tcW w:w="288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1.55 ± 2.01</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49</w:t>
            </w:r>
          </w:p>
        </w:tc>
      </w:tr>
      <w:tr w:rsidR="009E1F80">
        <w:trPr>
          <w:cantSplit/>
          <w:jc w:val="center"/>
        </w:trPr>
        <w:tc>
          <w:tcPr>
            <w:tcW w:w="864"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activity</w:t>
            </w:r>
          </w:p>
        </w:tc>
        <w:tc>
          <w:tcPr>
            <w:tcW w:w="288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0.31 ± 1.10</w:t>
            </w:r>
          </w:p>
        </w:tc>
        <w:tc>
          <w:tcPr>
            <w:tcW w:w="936"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30</w:t>
            </w:r>
          </w:p>
        </w:tc>
        <w:tc>
          <w:tcPr>
            <w:tcW w:w="288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0.11 ± 0.14</w:t>
            </w:r>
          </w:p>
        </w:tc>
        <w:tc>
          <w:tcPr>
            <w:tcW w:w="936"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31</w:t>
            </w:r>
          </w:p>
        </w:tc>
        <w:tc>
          <w:tcPr>
            <w:tcW w:w="144" w:type="dxa"/>
            <w:tcBorders>
              <w:bottom w:val="single" w:sz="16" w:space="0" w:color="000000"/>
            </w:tcBorders>
            <w:shd w:val="clear" w:color="auto" w:fill="FFFFFF"/>
            <w:tcMar>
              <w:top w:w="0" w:type="dxa"/>
              <w:left w:w="0" w:type="dxa"/>
              <w:bottom w:w="0" w:type="dxa"/>
              <w:right w:w="0" w:type="dxa"/>
            </w:tcMar>
            <w:vAlign w:val="center"/>
          </w:tcPr>
          <w:p w:rsidR="009E1F80" w:rsidRDefault="009E1F80">
            <w:pPr>
              <w:spacing w:before="40" w:after="40"/>
              <w:ind w:left="100" w:right="100"/>
            </w:pPr>
          </w:p>
        </w:tc>
        <w:tc>
          <w:tcPr>
            <w:tcW w:w="288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0.19 ± 0.64</w:t>
            </w:r>
          </w:p>
        </w:tc>
        <w:tc>
          <w:tcPr>
            <w:tcW w:w="936"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51</w:t>
            </w:r>
          </w:p>
        </w:tc>
        <w:tc>
          <w:tcPr>
            <w:tcW w:w="288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0.59 ± 2.14</w:t>
            </w:r>
          </w:p>
        </w:tc>
        <w:tc>
          <w:tcPr>
            <w:tcW w:w="936"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50</w:t>
            </w:r>
          </w:p>
        </w:tc>
      </w:tr>
    </w:tbl>
    <w:p w:rsidR="009E1F80" w:rsidRDefault="009E1F80">
      <w:pPr>
        <w:pStyle w:val="Heading5"/>
      </w:pPr>
      <w:bookmarkStart w:id="85" w:name="section-4"/>
      <w:bookmarkEnd w:id="85"/>
    </w:p>
    <w:p w:rsidR="009E1F80" w:rsidRDefault="007A1D4B">
      <w:pPr>
        <w:pStyle w:val="TableCaption"/>
      </w:pPr>
      <w:r>
        <w:t xml:space="preserve">Table 3: Results from linear models testing the effect of sex and treatment on five behaviours in </w:t>
      </w:r>
      <w:r>
        <w:rPr>
          <w:i/>
        </w:rPr>
        <w:t>Gryllus firmus</w:t>
      </w:r>
      <w:r>
        <w:t xml:space="preserve"> field crickets. Time spent in shelter and frequency of shelter visits tested using negative binomial model. Data for distance traveled, speed, </w:t>
      </w:r>
      <w:r>
        <w:t>and activity were Box-Cox transformed prior to analysis. Statistically significant main predictors are in bold.</w:t>
      </w:r>
    </w:p>
    <w:tbl>
      <w:tblPr>
        <w:tblW w:w="0" w:type="auto"/>
        <w:jc w:val="center"/>
        <w:tblLayout w:type="fixed"/>
        <w:tblLook w:val="04A0" w:firstRow="1" w:lastRow="0" w:firstColumn="1" w:lastColumn="0" w:noHBand="0" w:noVBand="1"/>
      </w:tblPr>
      <w:tblGrid>
        <w:gridCol w:w="2448"/>
        <w:gridCol w:w="936"/>
        <w:gridCol w:w="2592"/>
        <w:gridCol w:w="1440"/>
        <w:gridCol w:w="1440"/>
        <w:gridCol w:w="1440"/>
      </w:tblGrid>
      <w:tr w:rsidR="009E1F80">
        <w:trPr>
          <w:cantSplit/>
          <w:tblHeader/>
          <w:jc w:val="center"/>
        </w:trPr>
        <w:tc>
          <w:tcPr>
            <w:tcW w:w="2448"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behaviour</w:t>
            </w:r>
          </w:p>
        </w:tc>
        <w:tc>
          <w:tcPr>
            <w:tcW w:w="93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N</w:t>
            </w:r>
          </w:p>
        </w:tc>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predictor</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β</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z-value</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p-value</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time (s)</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F: 61</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intercept</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6.98 ± 0.32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21.82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0.00</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M: 101</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sex (male)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-0.18 ± 0.41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-0.44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0.66</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treatment (saline)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0.31 ± 0.46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0.68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0.50</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interaction</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-0.09 ± 0.58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-0.16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0.87</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F: 61</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intercept</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5.04 ± 0.28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17.84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0.00</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M: 101</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sex (male)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-1.25 ± 0.36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-3.48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0.00</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treatment (saline)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-0.67 ± 0.40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-1.67</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0.09</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interaction</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0.78 ± 0.51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1.53</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0.13</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distance travelled (cm)</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F: 61</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intercept</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14.94 ± 0.71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21.06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0.00</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M: 100</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sex (male)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0.31 ± 0.91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0.34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0.73</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treatment (saline)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0.97 ± 1.01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0.96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0.34</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interaction</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-0.12 ± 1.28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-0.10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0.92</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speed (cm/s)</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F: 61</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intercept</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0.98 ± 0.03</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32.68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0.00</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M: 100</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sex (male)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0.02 ± 0.04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0.44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0.66</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treatment (saline)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-0.02 ± 0.04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-0.40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0.69</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interaction</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0.01 ± 0.05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0.12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0.91</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activity</w:t>
            </w: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F: 61</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intercept</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2.12 ± 0.11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19.93</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0.00</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M: 101</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sex (male)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-0.04 ± 0.14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-0.33</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0.74</w:t>
            </w:r>
          </w:p>
        </w:tc>
      </w:tr>
      <w:tr w:rsidR="009E1F80">
        <w:trPr>
          <w:cantSplit/>
          <w:jc w:val="center"/>
        </w:trPr>
        <w:tc>
          <w:tcPr>
            <w:tcW w:w="2448" w:type="dxa"/>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treatment (saline)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-0.12 ± 0.15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-0.76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0.45</w:t>
            </w:r>
          </w:p>
        </w:tc>
      </w:tr>
      <w:tr w:rsidR="009E1F80">
        <w:trPr>
          <w:cantSplit/>
          <w:jc w:val="center"/>
        </w:trPr>
        <w:tc>
          <w:tcPr>
            <w:tcW w:w="2448" w:type="dxa"/>
            <w:tcBorders>
              <w:bottom w:val="single" w:sz="16" w:space="0" w:color="000000"/>
            </w:tcBorders>
            <w:shd w:val="clear" w:color="auto" w:fill="FFFFFF"/>
            <w:tcMar>
              <w:top w:w="0" w:type="dxa"/>
              <w:left w:w="0" w:type="dxa"/>
              <w:bottom w:w="0" w:type="dxa"/>
              <w:right w:w="0" w:type="dxa"/>
            </w:tcMar>
            <w:vAlign w:val="center"/>
          </w:tcPr>
          <w:p w:rsidR="009E1F80" w:rsidRDefault="009E1F80">
            <w:pPr>
              <w:spacing w:before="40" w:after="40"/>
              <w:ind w:left="100" w:right="100"/>
              <w:jc w:val="right"/>
            </w:pPr>
          </w:p>
        </w:tc>
        <w:tc>
          <w:tcPr>
            <w:tcW w:w="936"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 xml:space="preserve"> </w:t>
            </w:r>
          </w:p>
        </w:tc>
        <w:tc>
          <w:tcPr>
            <w:tcW w:w="2592"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interaction</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-0.06 ± 0.19</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-0.31</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0.76</w:t>
            </w:r>
          </w:p>
        </w:tc>
      </w:tr>
    </w:tbl>
    <w:p w:rsidR="009E1F80" w:rsidRDefault="009E1F80">
      <w:pPr>
        <w:pStyle w:val="Heading5"/>
      </w:pPr>
      <w:bookmarkStart w:id="86" w:name="section-5"/>
      <w:bookmarkEnd w:id="86"/>
    </w:p>
    <w:p w:rsidR="009E1F80" w:rsidRDefault="007A1D4B">
      <w:pPr>
        <w:pStyle w:val="TableCaption"/>
      </w:pPr>
      <w:r>
        <w:t xml:space="preserve">Table 4: Phenotypic correlations (Pearson product-moment coefficient, </w:t>
      </w:r>
      <w:r>
        <w:rPr>
          <w:i/>
        </w:rPr>
        <w:t>r</w:t>
      </w:r>
      <w:r>
        <w:t xml:space="preserve">) for all pairs of </w:t>
      </w:r>
      <w:r>
        <w:t>behaviours for each sex and treatment. Statistically significant correlation coefficients after Holm’s adjustment for multiple tests (n=40) are in bold.</w:t>
      </w:r>
    </w:p>
    <w:tbl>
      <w:tblPr>
        <w:tblW w:w="0" w:type="auto"/>
        <w:jc w:val="center"/>
        <w:tblLayout w:type="fixed"/>
        <w:tblLook w:val="04A0" w:firstRow="1" w:lastRow="0" w:firstColumn="1" w:lastColumn="0" w:noHBand="0" w:noVBand="1"/>
      </w:tblPr>
      <w:tblGrid>
        <w:gridCol w:w="3600"/>
        <w:gridCol w:w="1440"/>
        <w:gridCol w:w="1440"/>
      </w:tblGrid>
      <w:tr w:rsidR="009E1F80">
        <w:trPr>
          <w:cantSplit/>
          <w:tblHeader/>
          <w:jc w:val="center"/>
        </w:trPr>
        <w:tc>
          <w:tcPr>
            <w:tcW w:w="360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correlation</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r</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p-value</w:t>
            </w:r>
          </w:p>
        </w:tc>
      </w:tr>
      <w:tr w:rsidR="009E1F80">
        <w:trPr>
          <w:cantSplit/>
          <w:jc w:val="center"/>
        </w:trPr>
        <w:tc>
          <w:tcPr>
            <w:tcW w:w="6480" w:type="dxa"/>
            <w:gridSpan w:val="3"/>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(a) Females: saline</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time in shelter—shelter visits</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0.57</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0.03</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shelter—distance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visits—distance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distance—speed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0.87</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0.00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-0.25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-0.21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distance—activity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0.21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speed—activity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6480" w:type="dxa"/>
            <w:gridSpan w:val="3"/>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(b) Females: LPS</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shelter—shelter visits</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0.09</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shelter—distance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visits—distance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0.40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0.86</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distance—speed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0.29</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distance—activity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0.21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speed—activity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0.13</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6480" w:type="dxa"/>
            <w:gridSpan w:val="3"/>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(c) Males: saline</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shelter—shelter visits</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0.22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shelter—distance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0.99</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visits—distance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0.09</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-0.23</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distance—speed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0.36</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0.32</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0.41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0.09</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distance—activity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0.44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0.05</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speed—activity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0.92</w:t>
            </w:r>
          </w:p>
        </w:tc>
      </w:tr>
      <w:tr w:rsidR="009E1F80">
        <w:trPr>
          <w:cantSplit/>
          <w:jc w:val="center"/>
        </w:trPr>
        <w:tc>
          <w:tcPr>
            <w:tcW w:w="6480" w:type="dxa"/>
            <w:gridSpan w:val="3"/>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(d) Males: LPS</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lastRenderedPageBreak/>
              <w:t>time in shelter—shelter visits</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0.54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0.00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shelter—distance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-0.09</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visits—distance</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0.14</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b/>
                <w:color w:val="111111"/>
                <w:sz w:val="22"/>
                <w:szCs w:val="22"/>
              </w:rPr>
              <w:t>distance—speed</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0.89</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0.00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time in shelter—activity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-0.02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shelter visits—activity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0.21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r>
      <w:tr w:rsidR="009E1F80">
        <w:trPr>
          <w:cantSplit/>
          <w:jc w:val="center"/>
        </w:trPr>
        <w:tc>
          <w:tcPr>
            <w:tcW w:w="3600" w:type="dxa"/>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distance—activity</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0.27</w:t>
            </w:r>
          </w:p>
        </w:tc>
      </w:tr>
      <w:tr w:rsidR="009E1F80">
        <w:trPr>
          <w:cantSplit/>
          <w:jc w:val="center"/>
        </w:trPr>
        <w:tc>
          <w:tcPr>
            <w:tcW w:w="360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right"/>
            </w:pPr>
            <w:r>
              <w:rPr>
                <w:rFonts w:ascii="Arial" w:eastAsia="Arial" w:hAnsi="Arial" w:cs="Arial"/>
                <w:color w:val="111111"/>
                <w:sz w:val="22"/>
                <w:szCs w:val="22"/>
              </w:rPr>
              <w:t>speed—activity</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0.32</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0.84</w:t>
            </w:r>
          </w:p>
        </w:tc>
      </w:tr>
    </w:tbl>
    <w:p w:rsidR="009E1F80" w:rsidRDefault="009E1F80">
      <w:pPr>
        <w:pStyle w:val="Heading5"/>
      </w:pPr>
      <w:bookmarkStart w:id="87" w:name="section-6"/>
      <w:bookmarkEnd w:id="87"/>
    </w:p>
    <w:p w:rsidR="009E1F80" w:rsidRDefault="007A1D4B">
      <w:pPr>
        <w:pStyle w:val="TableCaption"/>
      </w:pPr>
      <w:r>
        <w:t>Table 5: Proportion of the water and three diet dishes visited by PBS- and LPS-injected male and female crickets during a 3h trial</w:t>
      </w:r>
    </w:p>
    <w:tbl>
      <w:tblPr>
        <w:tblW w:w="0" w:type="auto"/>
        <w:jc w:val="center"/>
        <w:tblLayout w:type="fixed"/>
        <w:tblLook w:val="04A0" w:firstRow="1" w:lastRow="0" w:firstColumn="1" w:lastColumn="0" w:noHBand="0" w:noVBand="1"/>
      </w:tblPr>
      <w:tblGrid>
        <w:gridCol w:w="1296"/>
        <w:gridCol w:w="1440"/>
        <w:gridCol w:w="1440"/>
        <w:gridCol w:w="216"/>
        <w:gridCol w:w="1440"/>
        <w:gridCol w:w="1440"/>
      </w:tblGrid>
      <w:tr w:rsidR="009E1F80">
        <w:trPr>
          <w:cantSplit/>
          <w:tblHeader/>
          <w:jc w:val="center"/>
        </w:trPr>
        <w:tc>
          <w:tcPr>
            <w:tcW w:w="1296" w:type="dxa"/>
            <w:tcBorders>
              <w:top w:val="single" w:sz="16" w:space="0" w:color="000000"/>
            </w:tcBorders>
            <w:shd w:val="clear" w:color="auto" w:fill="FFFFFF"/>
            <w:tcMar>
              <w:top w:w="0" w:type="dxa"/>
              <w:left w:w="0" w:type="dxa"/>
              <w:bottom w:w="0" w:type="dxa"/>
              <w:right w:w="0" w:type="dxa"/>
            </w:tcMar>
            <w:vAlign w:val="center"/>
          </w:tcPr>
          <w:p w:rsidR="009E1F80" w:rsidRDefault="009E1F80">
            <w:pPr>
              <w:spacing w:after="0"/>
            </w:pPr>
          </w:p>
        </w:tc>
        <w:tc>
          <w:tcPr>
            <w:tcW w:w="2880" w:type="dxa"/>
            <w:gridSpan w:val="2"/>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after="0"/>
              <w:jc w:val="center"/>
            </w:pPr>
            <w:r>
              <w:rPr>
                <w:rFonts w:ascii="Arial" w:eastAsia="Arial" w:hAnsi="Arial" w:cs="Arial"/>
                <w:b/>
                <w:color w:val="000000"/>
                <w:sz w:val="20"/>
                <w:szCs w:val="20"/>
              </w:rPr>
              <w:t>Females</w:t>
            </w:r>
          </w:p>
        </w:tc>
        <w:tc>
          <w:tcPr>
            <w:tcW w:w="216" w:type="dxa"/>
            <w:tcBorders>
              <w:top w:val="single" w:sz="16" w:space="0" w:color="000000"/>
            </w:tcBorders>
            <w:shd w:val="clear" w:color="auto" w:fill="FFFFFF"/>
            <w:tcMar>
              <w:top w:w="0" w:type="dxa"/>
              <w:left w:w="0" w:type="dxa"/>
              <w:bottom w:w="0" w:type="dxa"/>
              <w:right w:w="0" w:type="dxa"/>
            </w:tcMar>
            <w:vAlign w:val="center"/>
          </w:tcPr>
          <w:p w:rsidR="009E1F80" w:rsidRDefault="009E1F80">
            <w:pPr>
              <w:spacing w:after="0"/>
              <w:jc w:val="center"/>
            </w:pPr>
          </w:p>
        </w:tc>
        <w:tc>
          <w:tcPr>
            <w:tcW w:w="2880" w:type="dxa"/>
            <w:gridSpan w:val="2"/>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after="0"/>
              <w:jc w:val="center"/>
            </w:pPr>
            <w:r>
              <w:rPr>
                <w:rFonts w:ascii="Arial" w:eastAsia="Arial" w:hAnsi="Arial" w:cs="Arial"/>
                <w:b/>
                <w:color w:val="000000"/>
                <w:sz w:val="20"/>
                <w:szCs w:val="20"/>
              </w:rPr>
              <w:t>Males</w:t>
            </w:r>
          </w:p>
        </w:tc>
      </w:tr>
      <w:tr w:rsidR="009E1F80">
        <w:trPr>
          <w:cantSplit/>
          <w:tblHeader/>
          <w:jc w:val="center"/>
        </w:trPr>
        <w:tc>
          <w:tcPr>
            <w:tcW w:w="1296"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b/>
                <w:color w:val="111111"/>
                <w:sz w:val="22"/>
                <w:szCs w:val="22"/>
              </w:rPr>
              <w:t>proportion</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b/>
                <w:color w:val="111111"/>
                <w:sz w:val="22"/>
                <w:szCs w:val="22"/>
              </w:rPr>
              <w:t>saline</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b/>
                <w:color w:val="111111"/>
                <w:sz w:val="22"/>
                <w:szCs w:val="22"/>
              </w:rPr>
              <w:t>LPS</w:t>
            </w:r>
          </w:p>
        </w:tc>
        <w:tc>
          <w:tcPr>
            <w:tcW w:w="216" w:type="dxa"/>
            <w:tcBorders>
              <w:bottom w:val="single" w:sz="16" w:space="0" w:color="000000"/>
            </w:tcBorders>
            <w:shd w:val="clear" w:color="auto" w:fill="FFFFFF"/>
            <w:tcMar>
              <w:top w:w="0" w:type="dxa"/>
              <w:left w:w="0" w:type="dxa"/>
              <w:bottom w:w="0" w:type="dxa"/>
              <w:right w:w="0" w:type="dxa"/>
            </w:tcMar>
            <w:vAlign w:val="center"/>
          </w:tcPr>
          <w:p w:rsidR="009E1F80" w:rsidRDefault="009E1F80">
            <w:pPr>
              <w:spacing w:before="40" w:after="40"/>
              <w:ind w:left="100" w:right="100"/>
              <w:jc w:val="center"/>
            </w:pP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b/>
                <w:color w:val="111111"/>
                <w:sz w:val="22"/>
                <w:szCs w:val="22"/>
              </w:rPr>
              <w:t>saline</w:t>
            </w:r>
          </w:p>
        </w:tc>
        <w:tc>
          <w:tcPr>
            <w:tcW w:w="14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b/>
                <w:color w:val="111111"/>
                <w:sz w:val="22"/>
                <w:szCs w:val="22"/>
              </w:rPr>
              <w:t>LPS</w:t>
            </w:r>
          </w:p>
        </w:tc>
      </w:tr>
      <w:tr w:rsidR="009E1F80">
        <w:trPr>
          <w:cantSplit/>
          <w:jc w:val="center"/>
        </w:trPr>
        <w:tc>
          <w:tcPr>
            <w:tcW w:w="129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1</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1</w:t>
            </w:r>
          </w:p>
        </w:tc>
        <w:tc>
          <w:tcPr>
            <w:tcW w:w="216" w:type="dxa"/>
            <w:shd w:val="clear" w:color="auto" w:fill="FFFFFF"/>
            <w:tcMar>
              <w:top w:w="0" w:type="dxa"/>
              <w:left w:w="0" w:type="dxa"/>
              <w:bottom w:w="0" w:type="dxa"/>
              <w:right w:w="0" w:type="dxa"/>
            </w:tcMar>
            <w:vAlign w:val="center"/>
          </w:tcPr>
          <w:p w:rsidR="009E1F80" w:rsidRDefault="009E1F80">
            <w:pPr>
              <w:spacing w:before="40" w:after="40"/>
              <w:ind w:left="100" w:right="100"/>
              <w:jc w:val="center"/>
            </w:pP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2</w:t>
            </w:r>
          </w:p>
        </w:tc>
      </w:tr>
      <w:tr w:rsidR="009E1F80">
        <w:trPr>
          <w:cantSplit/>
          <w:jc w:val="center"/>
        </w:trPr>
        <w:tc>
          <w:tcPr>
            <w:tcW w:w="129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25%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2</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2</w:t>
            </w:r>
          </w:p>
        </w:tc>
        <w:tc>
          <w:tcPr>
            <w:tcW w:w="216" w:type="dxa"/>
            <w:shd w:val="clear" w:color="auto" w:fill="FFFFFF"/>
            <w:tcMar>
              <w:top w:w="0" w:type="dxa"/>
              <w:left w:w="0" w:type="dxa"/>
              <w:bottom w:w="0" w:type="dxa"/>
              <w:right w:w="0" w:type="dxa"/>
            </w:tcMar>
            <w:vAlign w:val="center"/>
          </w:tcPr>
          <w:p w:rsidR="009E1F80" w:rsidRDefault="009E1F80">
            <w:pPr>
              <w:spacing w:before="40" w:after="40"/>
              <w:ind w:left="100" w:right="100"/>
              <w:jc w:val="center"/>
            </w:pP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5</w:t>
            </w:r>
          </w:p>
        </w:tc>
      </w:tr>
      <w:tr w:rsidR="009E1F80">
        <w:trPr>
          <w:cantSplit/>
          <w:jc w:val="center"/>
        </w:trPr>
        <w:tc>
          <w:tcPr>
            <w:tcW w:w="129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50%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3</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4</w:t>
            </w:r>
          </w:p>
        </w:tc>
        <w:tc>
          <w:tcPr>
            <w:tcW w:w="216" w:type="dxa"/>
            <w:shd w:val="clear" w:color="auto" w:fill="FFFFFF"/>
            <w:tcMar>
              <w:top w:w="0" w:type="dxa"/>
              <w:left w:w="0" w:type="dxa"/>
              <w:bottom w:w="0" w:type="dxa"/>
              <w:right w:w="0" w:type="dxa"/>
            </w:tcMar>
            <w:vAlign w:val="center"/>
          </w:tcPr>
          <w:p w:rsidR="009E1F80" w:rsidRDefault="009E1F80">
            <w:pPr>
              <w:spacing w:before="40" w:after="40"/>
              <w:ind w:left="100" w:right="100"/>
              <w:jc w:val="center"/>
            </w:pP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4</w:t>
            </w:r>
          </w:p>
        </w:tc>
      </w:tr>
      <w:tr w:rsidR="009E1F80">
        <w:trPr>
          <w:cantSplit/>
          <w:jc w:val="center"/>
        </w:trPr>
        <w:tc>
          <w:tcPr>
            <w:tcW w:w="1296" w:type="dxa"/>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75%</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8</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8</w:t>
            </w:r>
          </w:p>
        </w:tc>
        <w:tc>
          <w:tcPr>
            <w:tcW w:w="216" w:type="dxa"/>
            <w:shd w:val="clear" w:color="auto" w:fill="FFFFFF"/>
            <w:tcMar>
              <w:top w:w="0" w:type="dxa"/>
              <w:left w:w="0" w:type="dxa"/>
              <w:bottom w:w="0" w:type="dxa"/>
              <w:right w:w="0" w:type="dxa"/>
            </w:tcMar>
            <w:vAlign w:val="center"/>
          </w:tcPr>
          <w:p w:rsidR="009E1F80" w:rsidRDefault="009E1F80">
            <w:pPr>
              <w:spacing w:before="40" w:after="40"/>
              <w:ind w:left="100" w:right="100"/>
              <w:jc w:val="center"/>
            </w:pP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10</w:t>
            </w:r>
          </w:p>
        </w:tc>
        <w:tc>
          <w:tcPr>
            <w:tcW w:w="1440" w:type="dxa"/>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14</w:t>
            </w:r>
          </w:p>
        </w:tc>
      </w:tr>
      <w:tr w:rsidR="009E1F80">
        <w:trPr>
          <w:cantSplit/>
          <w:jc w:val="center"/>
        </w:trPr>
        <w:tc>
          <w:tcPr>
            <w:tcW w:w="1296"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pPr>
            <w:r>
              <w:rPr>
                <w:rFonts w:ascii="Arial" w:eastAsia="Arial" w:hAnsi="Arial" w:cs="Arial"/>
                <w:color w:val="111111"/>
                <w:sz w:val="22"/>
                <w:szCs w:val="22"/>
              </w:rPr>
              <w:t>100%</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16</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16</w:t>
            </w:r>
          </w:p>
        </w:tc>
        <w:tc>
          <w:tcPr>
            <w:tcW w:w="216" w:type="dxa"/>
            <w:tcBorders>
              <w:bottom w:val="single" w:sz="16" w:space="0" w:color="000000"/>
            </w:tcBorders>
            <w:shd w:val="clear" w:color="auto" w:fill="FFFFFF"/>
            <w:tcMar>
              <w:top w:w="0" w:type="dxa"/>
              <w:left w:w="0" w:type="dxa"/>
              <w:bottom w:w="0" w:type="dxa"/>
              <w:right w:w="0" w:type="dxa"/>
            </w:tcMar>
            <w:vAlign w:val="center"/>
          </w:tcPr>
          <w:p w:rsidR="009E1F80" w:rsidRDefault="009E1F80">
            <w:pPr>
              <w:spacing w:before="40" w:after="40"/>
              <w:ind w:left="100" w:right="100"/>
              <w:jc w:val="center"/>
            </w:pP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29</w:t>
            </w:r>
          </w:p>
        </w:tc>
        <w:tc>
          <w:tcPr>
            <w:tcW w:w="1440" w:type="dxa"/>
            <w:tcBorders>
              <w:bottom w:val="single" w:sz="16" w:space="0" w:color="000000"/>
            </w:tcBorders>
            <w:shd w:val="clear" w:color="auto" w:fill="FFFFFF"/>
            <w:tcMar>
              <w:top w:w="0" w:type="dxa"/>
              <w:left w:w="0" w:type="dxa"/>
              <w:bottom w:w="0" w:type="dxa"/>
              <w:right w:w="0" w:type="dxa"/>
            </w:tcMar>
            <w:vAlign w:val="center"/>
          </w:tcPr>
          <w:p w:rsidR="009E1F80" w:rsidRDefault="007A1D4B">
            <w:pPr>
              <w:spacing w:before="40" w:after="40"/>
              <w:ind w:left="100" w:right="100"/>
              <w:jc w:val="center"/>
            </w:pPr>
            <w:r>
              <w:rPr>
                <w:rFonts w:ascii="Arial" w:eastAsia="Arial" w:hAnsi="Arial" w:cs="Arial"/>
                <w:color w:val="111111"/>
                <w:sz w:val="22"/>
                <w:szCs w:val="22"/>
              </w:rPr>
              <w:t>25</w:t>
            </w:r>
          </w:p>
        </w:tc>
      </w:tr>
    </w:tbl>
    <w:p w:rsidR="009E1F80" w:rsidRDefault="009E1F80">
      <w:pPr>
        <w:pStyle w:val="Heading5"/>
      </w:pPr>
      <w:bookmarkStart w:id="88" w:name="section-7"/>
      <w:bookmarkEnd w:id="88"/>
    </w:p>
    <w:p w:rsidR="009E1F80" w:rsidRDefault="007A1D4B">
      <w:pPr>
        <w:pStyle w:val="FirstParagraph"/>
      </w:pPr>
      <w:r>
        <w:t>FIGURE CAPTIONS</w:t>
      </w:r>
    </w:p>
    <w:p w:rsidR="009E1F80" w:rsidRDefault="007A1D4B">
      <w:pPr>
        <w:pStyle w:val="BodyText"/>
      </w:pPr>
      <w:r>
        <w:t xml:space="preserve">Figure 1: Duration (s) spent by female (n= 61 ) and male (n= 101 ) </w:t>
      </w:r>
      <w:r>
        <w:rPr>
          <w:i/>
        </w:rPr>
        <w:t>Gryllus firmus</w:t>
      </w:r>
      <w:r>
        <w:t xml:space="preserve"> field crickets on water and each of three </w:t>
      </w:r>
      <w:r>
        <w:t>diets after injection with either saline or LPS. Dots represent individual crickets and horizontal bars represent the mean.</w:t>
      </w:r>
    </w:p>
    <w:sectPr w:rsidR="009E1F80" w:rsidSect="00BD2204">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A1D4B">
      <w:pPr>
        <w:spacing w:after="0"/>
      </w:pPr>
      <w:r>
        <w:separator/>
      </w:r>
    </w:p>
  </w:endnote>
  <w:endnote w:type="continuationSeparator" w:id="0">
    <w:p w:rsidR="00000000" w:rsidRDefault="007A1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F80" w:rsidRDefault="007A1D4B">
      <w:r>
        <w:separator/>
      </w:r>
    </w:p>
  </w:footnote>
  <w:footnote w:type="continuationSeparator" w:id="0">
    <w:p w:rsidR="009E1F80" w:rsidRDefault="007A1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49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26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A33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CA0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8EDA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D8A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08E2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BA2C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F23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8C0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9CF859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55DAE2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971FC"/>
    <w:rsid w:val="004E29B3"/>
    <w:rsid w:val="00590D07"/>
    <w:rsid w:val="00784D58"/>
    <w:rsid w:val="007A1D4B"/>
    <w:rsid w:val="008D6863"/>
    <w:rsid w:val="009E1F8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549A81F-9D91-6846-9EE1-62A30A3C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rsid w:val="00565285"/>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BodyText"/>
    <w:uiPriority w:val="9"/>
    <w:unhideWhenUsed/>
    <w:qFormat/>
    <w:rsid w:val="00565285"/>
    <w:pPr>
      <w:keepNext/>
      <w:keepLines/>
      <w:spacing w:before="200" w:after="0"/>
      <w:outlineLvl w:val="1"/>
    </w:pPr>
    <w:rPr>
      <w:rFonts w:asciiTheme="majorHAnsi" w:eastAsiaTheme="majorEastAsia" w:hAnsiTheme="majorHAnsi" w:cstheme="majorBidi"/>
      <w:b/>
      <w:bCs/>
      <w:color w:val="000000" w:themeColor="tex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545FB2"/>
    <w:pPr>
      <w:keepNext/>
      <w:keepLines/>
      <w:spacing w:before="200" w:after="0"/>
      <w:jc w:val="center"/>
      <w:outlineLvl w:val="3"/>
    </w:pPr>
    <w:rPr>
      <w:rFonts w:ascii="Times New Roman" w:eastAsiaTheme="majorEastAsia" w:hAnsi="Times New Roman" w:cstheme="majorBidi"/>
      <w:bCs/>
      <w:color w:val="000000" w:themeColor="text1"/>
    </w:rPr>
  </w:style>
  <w:style w:type="paragraph" w:styleId="Heading5">
    <w:name w:val="heading 5"/>
    <w:basedOn w:val="Normal"/>
    <w:next w:val="BodyText"/>
    <w:uiPriority w:val="9"/>
    <w:unhideWhenUsed/>
    <w:qFormat/>
    <w:rsid w:val="00C175E3"/>
    <w:pPr>
      <w:keepNext/>
      <w:keepLines/>
      <w:pageBreakBefore/>
      <w:spacing w:before="200" w:after="0" w:line="20" w:lineRule="exact"/>
      <w:outlineLvl w:val="4"/>
    </w:pPr>
    <w:rPr>
      <w:rFonts w:asciiTheme="majorHAnsi" w:eastAsiaTheme="majorEastAsia" w:hAnsiTheme="majorHAnsi" w:cstheme="majorBidi"/>
      <w:i/>
      <w:iCs/>
      <w:color w:val="FFFFFF" w:themeColor="background1"/>
      <w:sz w:val="10"/>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84AA8"/>
    <w:pPr>
      <w:spacing w:before="180" w:after="180"/>
    </w:pPr>
    <w:rPr>
      <w:rFonts w:ascii="Times New Roman" w:hAnsi="Times New Roman"/>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565285"/>
    <w:pPr>
      <w:keepNext/>
      <w:keepLines/>
      <w:spacing w:before="480" w:after="240"/>
      <w:jc w:val="center"/>
    </w:pPr>
    <w:rPr>
      <w:rFonts w:asciiTheme="majorHAnsi" w:eastAsiaTheme="majorEastAsia" w:hAnsiTheme="majorHAnsi" w:cstheme="majorBidi"/>
      <w:b/>
      <w:bCs/>
      <w:color w:val="000000" w:themeColor="text1"/>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rsid w:val="003F3323"/>
    <w:pPr>
      <w:keepNext/>
      <w:keepLines/>
      <w:spacing w:before="300" w:after="300"/>
    </w:pPr>
    <w:rPr>
      <w:rFonts w:ascii="Times New Roman" w:hAnsi="Times New Roman"/>
      <w:szCs w:val="20"/>
    </w:rPr>
  </w:style>
  <w:style w:type="paragraph" w:styleId="Bibliography">
    <w:name w:val="Bibliography"/>
    <w:basedOn w:val="Normal"/>
    <w:qFormat/>
    <w:rsid w:val="003B151A"/>
    <w:rPr>
      <w:rFonts w:ascii="Times New Roman" w:hAnsi="Times New Roman"/>
    </w:r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basedOn w:val="TableNormal"/>
    <w:semiHidden/>
    <w:unhideWhenUsed/>
    <w:qFormat/>
    <w:rsid w:val="008B37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95026"/>
    <w:pPr>
      <w:keepNext/>
    </w:pPr>
    <w:rPr>
      <w:rFonts w:ascii="Times New Roman" w:hAnsi="Times New Roman"/>
      <w:i w:val="0"/>
    </w:r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character" w:customStyle="1" w:styleId="BodyTextChar">
    <w:name w:val="Body Text Char"/>
    <w:basedOn w:val="DefaultParagraphFont"/>
    <w:link w:val="BodyText"/>
    <w:rsid w:val="00184AA8"/>
    <w:rPr>
      <w:rFonts w:ascii="Times New Roman" w:hAnsi="Times New Roman"/>
    </w:rPr>
  </w:style>
  <w:style w:type="character" w:styleId="LineNumber">
    <w:name w:val="line number"/>
    <w:basedOn w:val="DefaultParagraphFont"/>
    <w:semiHidden/>
    <w:unhideWhenUsed/>
    <w:rsid w:val="00BD2204"/>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8/rspb.2001.1915%20" TargetMode="External"/><Relationship Id="rId18" Type="http://schemas.openxmlformats.org/officeDocument/2006/relationships/hyperlink" Target="https://doi.org/10.1016/j.bbi.2006.09.006%20" TargetMode="External"/><Relationship Id="rId26" Type="http://schemas.openxmlformats.org/officeDocument/2006/relationships/hyperlink" Target="https://doi.org/10.7717/peerj.1501%20" TargetMode="External"/><Relationship Id="rId39" Type="http://schemas.openxmlformats.org/officeDocument/2006/relationships/hyperlink" Target="https://doi.org/10.1093/icb/icp050%20" TargetMode="External"/><Relationship Id="rId21" Type="http://schemas.openxmlformats.org/officeDocument/2006/relationships/hyperlink" Target="https://doi.org/10.1098/rspb.2003.2511%20" TargetMode="External"/><Relationship Id="rId34" Type="http://schemas.openxmlformats.org/officeDocument/2006/relationships/hyperlink" Target="https://doi.org/10.1242/jeb.02371%20" TargetMode="External"/><Relationship Id="rId42" Type="http://schemas.openxmlformats.org/officeDocument/2006/relationships/hyperlink" Target="https://doi.org/10.1093/icb/icu089%20" TargetMode="External"/><Relationship Id="rId7" Type="http://schemas.openxmlformats.org/officeDocument/2006/relationships/hyperlink" Target="mailto:kelly.clint@uqam.ca" TargetMode="External"/><Relationship Id="rId2" Type="http://schemas.openxmlformats.org/officeDocument/2006/relationships/styles" Target="styles.xml"/><Relationship Id="rId16" Type="http://schemas.openxmlformats.org/officeDocument/2006/relationships/hyperlink" Target="https://doi.org/10.1016/j.jinsphys.2015.07.005%20" TargetMode="External"/><Relationship Id="rId29" Type="http://schemas.openxmlformats.org/officeDocument/2006/relationships/hyperlink" Target="https://doi.org/10.1086/657609%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371/journal.pone.0004490%20" TargetMode="External"/><Relationship Id="rId24" Type="http://schemas.openxmlformats.org/officeDocument/2006/relationships/hyperlink" Target="https://doi.org/10.1111/j.1095-8312.2011.01714.x%20" TargetMode="External"/><Relationship Id="rId32" Type="http://schemas.openxmlformats.org/officeDocument/2006/relationships/hyperlink" Target="https://doi.org/10.1126/science.290.5494.1166%20" TargetMode="External"/><Relationship Id="rId37" Type="http://schemas.openxmlformats.org/officeDocument/2006/relationships/hyperlink" Target="https://doi.org/10.1016/j.jinsphys.2012.10.011%20" TargetMode="External"/><Relationship Id="rId40" Type="http://schemas.openxmlformats.org/officeDocument/2006/relationships/hyperlink" Target="https://doi.org/10.2307/4455951%2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yhbeh.2014.11.003%20" TargetMode="External"/><Relationship Id="rId23" Type="http://schemas.openxmlformats.org/officeDocument/2006/relationships/hyperlink" Target="https://doi.org/10.3389/fphys.2016.00261%20" TargetMode="External"/><Relationship Id="rId28" Type="http://schemas.openxmlformats.org/officeDocument/2006/relationships/hyperlink" Target="https://doi.org/10.1098/rspb.2005.3385%20" TargetMode="External"/><Relationship Id="rId36" Type="http://schemas.openxmlformats.org/officeDocument/2006/relationships/hyperlink" Target="https://doi.org/10.1111/1365-2656.13126%20" TargetMode="External"/><Relationship Id="rId10" Type="http://schemas.openxmlformats.org/officeDocument/2006/relationships/hyperlink" Target="https://doi.org/10.2307/4532972%20" TargetMode="External"/><Relationship Id="rId19" Type="http://schemas.openxmlformats.org/officeDocument/2006/relationships/hyperlink" Target="https://doi.org/10.1038/nrn2297%20" TargetMode="External"/><Relationship Id="rId31" Type="http://schemas.openxmlformats.org/officeDocument/2006/relationships/hyperlink" Target="https://doi.org/10.1242/jeb.093716%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bbi.2006.10.006%20" TargetMode="External"/><Relationship Id="rId14" Type="http://schemas.openxmlformats.org/officeDocument/2006/relationships/hyperlink" Target="https://doi.org/10.1111/j.1420-9101.2011.02425.x%20" TargetMode="External"/><Relationship Id="rId22" Type="http://schemas.openxmlformats.org/officeDocument/2006/relationships/hyperlink" Target="https://doi.org/10.1111/j.1420-9101.2005.00899.x%20" TargetMode="External"/><Relationship Id="rId27" Type="http://schemas.openxmlformats.org/officeDocument/2006/relationships/hyperlink" Target="https://doi.org/10.1093/beheco/arq035%20" TargetMode="External"/><Relationship Id="rId30" Type="http://schemas.openxmlformats.org/officeDocument/2006/relationships/hyperlink" Target="https://doi.org/10.1007/s00265-012-1397-1%20" TargetMode="External"/><Relationship Id="rId35" Type="http://schemas.openxmlformats.org/officeDocument/2006/relationships/hyperlink" Target="https://doi.org/10.1016/j.aspen.2015.07.007%20" TargetMode="External"/><Relationship Id="rId43" Type="http://schemas.openxmlformats.org/officeDocument/2006/relationships/hyperlink" Target="https://doi.org/10.1016/j.beproc.2016.05.004%20" TargetMode="External"/><Relationship Id="rId8" Type="http://schemas.openxmlformats.org/officeDocument/2006/relationships/hyperlink" Target="https://doi.org/10.1016/j.anbehav.2015.04.018%20" TargetMode="External"/><Relationship Id="rId3" Type="http://schemas.openxmlformats.org/officeDocument/2006/relationships/settings" Target="settings.xml"/><Relationship Id="rId12" Type="http://schemas.openxmlformats.org/officeDocument/2006/relationships/hyperlink" Target="https://doi.org/10.1111/1365-2435.12236%20" TargetMode="External"/><Relationship Id="rId17" Type="http://schemas.openxmlformats.org/officeDocument/2006/relationships/hyperlink" Target="https://doi.org/10.1016/j.ejphar.2004.07.040%20" TargetMode="External"/><Relationship Id="rId25" Type="http://schemas.openxmlformats.org/officeDocument/2006/relationships/hyperlink" Target="https://doi.org/10.1002/ece3.1257%20" TargetMode="External"/><Relationship Id="rId33" Type="http://schemas.openxmlformats.org/officeDocument/2006/relationships/hyperlink" Target="https://doi.org/10.1016/j.yhbeh.2005.04.009%20" TargetMode="External"/><Relationship Id="rId38" Type="http://schemas.openxmlformats.org/officeDocument/2006/relationships/hyperlink" Target="https://doi.org/10.1111/j.1365-2656.2008.01499.x%20" TargetMode="External"/><Relationship Id="rId20" Type="http://schemas.openxmlformats.org/officeDocument/2006/relationships/hyperlink" Target="https://doi.org/10.1002/arch.21215%20" TargetMode="External"/><Relationship Id="rId41" Type="http://schemas.openxmlformats.org/officeDocument/2006/relationships/hyperlink" Target="https://doi.org/10.1111/j.1365-3032.2006.00552.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evidence of sickness behaviour in immune-challenged field crickets</dc:title>
  <dc:creator>Clint D. Kelly and Jules Mc Cabe Leroux</dc:creator>
  <cp:keywords/>
  <cp:lastModifiedBy>Kelly, Clint Dale</cp:lastModifiedBy>
  <cp:revision>3</cp:revision>
  <dcterms:created xsi:type="dcterms:W3CDTF">2020-04-21T13:22:00Z</dcterms:created>
  <dcterms:modified xsi:type="dcterms:W3CDTF">2020-05-05T18:46:00Z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bibliography.bib</vt:lpwstr>
  </property>
  <property fmtid="{D5CDD505-2E9C-101B-9397-08002B2CF9AE}" pid="3" name="csl">
    <vt:lpwstr>journal-of-ethology.csl</vt:lpwstr>
  </property>
  <property fmtid="{D5CDD505-2E9C-101B-9397-08002B2CF9AE}" pid="4" name="header-includes">
    <vt:lpwstr/>
  </property>
  <property fmtid="{D5CDD505-2E9C-101B-9397-08002B2CF9AE}" pid="5" name="output">
    <vt:lpwstr/>
  </property>
</Properties>
</file>